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187D6" w14:textId="77777777" w:rsidR="00C463B4" w:rsidRPr="00C463B4" w:rsidRDefault="00C463B4" w:rsidP="00C463B4">
      <w:pPr>
        <w:keepNext/>
        <w:keepLines/>
        <w:spacing w:after="0" w:line="240" w:lineRule="auto"/>
        <w:jc w:val="center"/>
        <w:outlineLvl w:val="1"/>
        <w:rPr>
          <w:rFonts w:ascii="Gill Sans MT" w:eastAsia="Times New Roman" w:hAnsi="Gill Sans MT" w:cs="Times New Roman"/>
          <w:b/>
          <w:bCs/>
          <w:sz w:val="28"/>
          <w:szCs w:val="26"/>
        </w:rPr>
      </w:pPr>
      <w:r w:rsidRPr="00C463B4">
        <w:rPr>
          <w:rFonts w:ascii="Gill Sans MT" w:eastAsia="Times New Roman" w:hAnsi="Gill Sans MT" w:cs="Times New Roman"/>
          <w:b/>
          <w:bCs/>
          <w:sz w:val="28"/>
          <w:szCs w:val="26"/>
        </w:rPr>
        <w:t>Iowa School Report Card Information</w:t>
      </w:r>
    </w:p>
    <w:p w14:paraId="7BA4E652" w14:textId="77777777" w:rsidR="00C463B4" w:rsidRPr="00C463B4" w:rsidRDefault="00C463B4" w:rsidP="00C463B4">
      <w:pPr>
        <w:spacing w:after="0" w:line="240" w:lineRule="auto"/>
        <w:rPr>
          <w:rFonts w:ascii="Garamond" w:eastAsia="Calibri" w:hAnsi="Garamond" w:cs="Times New Roman"/>
        </w:rPr>
      </w:pPr>
    </w:p>
    <w:p w14:paraId="0024BFDE" w14:textId="77777777" w:rsidR="00C463B4" w:rsidRPr="00C463B4" w:rsidRDefault="00C463B4" w:rsidP="00C463B4">
      <w:pPr>
        <w:spacing w:after="0" w:line="240" w:lineRule="auto"/>
        <w:rPr>
          <w:rFonts w:ascii="Garamond" w:eastAsia="Calibri" w:hAnsi="Garamond" w:cs="Times New Roman"/>
        </w:rPr>
      </w:pPr>
      <w:r w:rsidRPr="00C463B4">
        <w:rPr>
          <w:rFonts w:ascii="Garamond" w:eastAsia="Calibri" w:hAnsi="Garamond" w:cs="Times New Roman"/>
        </w:rPr>
        <w:t xml:space="preserve">The Iowa School Report Card (formerly known as Attendance Center Rankings) is a system developed by the Iowa Department of Education (IDE) to show how each public school is performing on certain educational measures.  The IDE developed the rating system in response to a 2013 legislative requirement (House File 215) and </w:t>
      </w:r>
      <w:r w:rsidRPr="00C463B4">
        <w:rPr>
          <w:rFonts w:ascii="Garamond" w:eastAsia="Calibri" w:hAnsi="Garamond" w:cs="Times New Roman"/>
          <w:b/>
        </w:rPr>
        <w:t>will be releasing the ratings to the media and public during the week of December 14, 2015</w:t>
      </w:r>
      <w:r w:rsidRPr="00C463B4">
        <w:rPr>
          <w:rFonts w:ascii="Garamond" w:eastAsia="Calibri" w:hAnsi="Garamond" w:cs="Times New Roman"/>
        </w:rPr>
        <w:t>.</w:t>
      </w:r>
    </w:p>
    <w:p w14:paraId="1CE166AA" w14:textId="77777777" w:rsidR="00C463B4" w:rsidRPr="00C463B4" w:rsidRDefault="00C463B4" w:rsidP="00C463B4">
      <w:pPr>
        <w:spacing w:after="0" w:line="240" w:lineRule="auto"/>
        <w:rPr>
          <w:rFonts w:ascii="Garamond" w:eastAsia="Calibri" w:hAnsi="Garamond" w:cs="Times New Roman"/>
        </w:rPr>
      </w:pPr>
    </w:p>
    <w:p w14:paraId="0E2C5863" w14:textId="77777777" w:rsidR="00C463B4" w:rsidRPr="00C463B4" w:rsidRDefault="00C463B4" w:rsidP="00C463B4">
      <w:pPr>
        <w:keepNext/>
        <w:keepLines/>
        <w:spacing w:after="0" w:line="240" w:lineRule="auto"/>
        <w:outlineLvl w:val="1"/>
        <w:rPr>
          <w:rFonts w:ascii="Gill Sans MT" w:eastAsia="Times New Roman" w:hAnsi="Gill Sans MT" w:cs="Times New Roman"/>
          <w:b/>
          <w:bCs/>
          <w:szCs w:val="26"/>
        </w:rPr>
      </w:pPr>
      <w:r w:rsidRPr="00C463B4">
        <w:rPr>
          <w:rFonts w:ascii="Gill Sans MT" w:eastAsia="Times New Roman" w:hAnsi="Gill Sans MT" w:cs="Times New Roman"/>
          <w:b/>
          <w:bCs/>
          <w:szCs w:val="26"/>
        </w:rPr>
        <w:t>Measures in the School Report Card</w:t>
      </w:r>
    </w:p>
    <w:p w14:paraId="56477A8C" w14:textId="77777777" w:rsidR="00C463B4" w:rsidRPr="00C463B4" w:rsidRDefault="00C463B4" w:rsidP="00C463B4">
      <w:pPr>
        <w:spacing w:after="0" w:line="240" w:lineRule="auto"/>
        <w:rPr>
          <w:rFonts w:ascii="Garamond" w:eastAsia="Calibri" w:hAnsi="Garamond" w:cs="Times New Roman"/>
        </w:rPr>
      </w:pPr>
      <w:r w:rsidRPr="00C463B4">
        <w:rPr>
          <w:rFonts w:ascii="Garamond" w:eastAsia="Calibri" w:hAnsi="Garamond" w:cs="Times New Roman"/>
        </w:rPr>
        <w:t>The Iowa School Report Card rates schools on eight measures*:</w:t>
      </w:r>
    </w:p>
    <w:p w14:paraId="0F3529A0" w14:textId="77777777" w:rsidR="00C463B4" w:rsidRPr="00C463B4" w:rsidRDefault="00C463B4" w:rsidP="00C463B4">
      <w:pPr>
        <w:numPr>
          <w:ilvl w:val="0"/>
          <w:numId w:val="1"/>
        </w:numPr>
        <w:spacing w:after="0" w:line="240" w:lineRule="auto"/>
        <w:contextualSpacing/>
        <w:rPr>
          <w:rFonts w:ascii="Garamond" w:eastAsia="Calibri" w:hAnsi="Garamond" w:cs="Times New Roman"/>
        </w:rPr>
      </w:pPr>
      <w:r w:rsidRPr="00C463B4">
        <w:rPr>
          <w:rFonts w:ascii="Garamond" w:eastAsia="Calibri" w:hAnsi="Garamond" w:cs="Times New Roman"/>
          <w:b/>
        </w:rPr>
        <w:t>Student Proficiency:</w:t>
      </w:r>
      <w:r w:rsidRPr="00C463B4">
        <w:rPr>
          <w:rFonts w:ascii="Garamond" w:eastAsia="Calibri" w:hAnsi="Garamond" w:cs="Times New Roman"/>
        </w:rPr>
        <w:t xml:space="preserve"> The percentage of students scoring proficient or better on the reading and mathematics state accountability tests (includes full academic year (FAY) students in grades 3-8 &amp; 11)</w:t>
      </w:r>
    </w:p>
    <w:p w14:paraId="058A8DA9" w14:textId="00759572" w:rsidR="00C463B4" w:rsidRPr="00C463B4" w:rsidRDefault="00C463B4" w:rsidP="00C463B4">
      <w:pPr>
        <w:numPr>
          <w:ilvl w:val="0"/>
          <w:numId w:val="1"/>
        </w:numPr>
        <w:spacing w:after="0" w:line="240" w:lineRule="auto"/>
        <w:contextualSpacing/>
        <w:rPr>
          <w:rFonts w:ascii="Garamond" w:eastAsia="Calibri" w:hAnsi="Garamond" w:cs="Times New Roman"/>
        </w:rPr>
      </w:pPr>
      <w:r w:rsidRPr="00C463B4">
        <w:rPr>
          <w:rFonts w:ascii="Garamond" w:eastAsia="Calibri" w:hAnsi="Garamond" w:cs="Times New Roman"/>
          <w:b/>
        </w:rPr>
        <w:t>Closing Achievement Gaps:</w:t>
      </w:r>
      <w:r w:rsidRPr="00C463B4">
        <w:rPr>
          <w:rFonts w:ascii="Garamond" w:eastAsia="Calibri" w:hAnsi="Garamond" w:cs="Times New Roman"/>
        </w:rPr>
        <w:t xml:space="preserve"> A measure of the narrowing of the gap in achievement for students with disabilities, students who are eligible for free and reduced-priced meals, and English language learners as measured by proficiency on the reading and mathematics state accountability tests (includes FAY students in g</w:t>
      </w:r>
      <w:r w:rsidR="00A16B53">
        <w:rPr>
          <w:rFonts w:ascii="Garamond" w:eastAsia="Calibri" w:hAnsi="Garamond" w:cs="Times New Roman"/>
        </w:rPr>
        <w:t>rades 3-8, 10, &amp;</w:t>
      </w:r>
      <w:r w:rsidRPr="00C463B4">
        <w:rPr>
          <w:rFonts w:ascii="Garamond" w:eastAsia="Calibri" w:hAnsi="Garamond" w:cs="Times New Roman"/>
        </w:rPr>
        <w:t xml:space="preserve"> 11)</w:t>
      </w:r>
    </w:p>
    <w:p w14:paraId="2F693827" w14:textId="77777777" w:rsidR="00C463B4" w:rsidRPr="00C463B4" w:rsidRDefault="00C463B4" w:rsidP="00C463B4">
      <w:pPr>
        <w:numPr>
          <w:ilvl w:val="0"/>
          <w:numId w:val="1"/>
        </w:numPr>
        <w:spacing w:after="0" w:line="240" w:lineRule="auto"/>
        <w:contextualSpacing/>
        <w:rPr>
          <w:rFonts w:ascii="Garamond" w:eastAsia="Calibri" w:hAnsi="Garamond" w:cs="Times New Roman"/>
        </w:rPr>
      </w:pPr>
      <w:r w:rsidRPr="00C463B4">
        <w:rPr>
          <w:rFonts w:ascii="Garamond" w:eastAsia="Calibri" w:hAnsi="Garamond" w:cs="Times New Roman"/>
          <w:b/>
        </w:rPr>
        <w:t>College and Career Ready Growth</w:t>
      </w:r>
      <w:r w:rsidRPr="007D41E4">
        <w:rPr>
          <w:rFonts w:ascii="Garamond" w:eastAsia="Calibri" w:hAnsi="Garamond" w:cs="Times New Roman"/>
          <w:b/>
        </w:rPr>
        <w:t>**</w:t>
      </w:r>
      <w:r w:rsidRPr="00C463B4">
        <w:rPr>
          <w:rFonts w:ascii="Garamond" w:eastAsia="Calibri" w:hAnsi="Garamond" w:cs="Times New Roman"/>
          <w:b/>
        </w:rPr>
        <w:t>:</w:t>
      </w:r>
      <w:r w:rsidRPr="00C463B4">
        <w:rPr>
          <w:rFonts w:ascii="Garamond" w:eastAsia="Calibri" w:hAnsi="Garamond" w:cs="Times New Roman"/>
        </w:rPr>
        <w:t xml:space="preserve"> The percentage of students making the yearly growth necessary to meet the College and Career Ready benchmark on the reading and mathematics state accountability tests (includes FAY students in grades 4-8 &amp; 11)</w:t>
      </w:r>
    </w:p>
    <w:p w14:paraId="729C0D00" w14:textId="77777777" w:rsidR="00C463B4" w:rsidRPr="00C463B4" w:rsidRDefault="00C463B4" w:rsidP="00C463B4">
      <w:pPr>
        <w:numPr>
          <w:ilvl w:val="0"/>
          <w:numId w:val="1"/>
        </w:numPr>
        <w:spacing w:after="0" w:line="240" w:lineRule="auto"/>
        <w:contextualSpacing/>
        <w:rPr>
          <w:rFonts w:ascii="Garamond" w:eastAsia="Calibri" w:hAnsi="Garamond" w:cs="Times New Roman"/>
        </w:rPr>
      </w:pPr>
      <w:r w:rsidRPr="00C463B4">
        <w:rPr>
          <w:rFonts w:ascii="Garamond" w:eastAsia="Calibri" w:hAnsi="Garamond" w:cs="Times New Roman"/>
          <w:b/>
        </w:rPr>
        <w:t>Annual Expected Growth:</w:t>
      </w:r>
      <w:r w:rsidRPr="00C463B4">
        <w:rPr>
          <w:rFonts w:ascii="Garamond" w:eastAsia="Calibri" w:hAnsi="Garamond" w:cs="Times New Roman"/>
        </w:rPr>
        <w:t xml:space="preserve"> The percentage of students making a year of academic growth in a year’s time on the reading and mathematics state accountability tests (known as typical growth in DMPS) (includes FAY students in grades 4-8 &amp; 11)</w:t>
      </w:r>
    </w:p>
    <w:p w14:paraId="67ABBB39" w14:textId="022D2B5B" w:rsidR="00C463B4" w:rsidRPr="00C463B4" w:rsidRDefault="00C463B4" w:rsidP="00C463B4">
      <w:pPr>
        <w:numPr>
          <w:ilvl w:val="0"/>
          <w:numId w:val="1"/>
        </w:numPr>
        <w:spacing w:after="0" w:line="240" w:lineRule="auto"/>
        <w:contextualSpacing/>
        <w:rPr>
          <w:rFonts w:ascii="Garamond" w:eastAsia="Calibri" w:hAnsi="Garamond" w:cs="Times New Roman"/>
        </w:rPr>
      </w:pPr>
      <w:r w:rsidRPr="00C463B4">
        <w:rPr>
          <w:rFonts w:ascii="Garamond" w:eastAsia="Calibri" w:hAnsi="Garamond" w:cs="Times New Roman"/>
          <w:b/>
        </w:rPr>
        <w:t>College and Career Readiness:</w:t>
      </w:r>
      <w:r w:rsidRPr="00C463B4">
        <w:rPr>
          <w:rFonts w:ascii="Garamond" w:eastAsia="Calibri" w:hAnsi="Garamond" w:cs="Times New Roman"/>
        </w:rPr>
        <w:t xml:space="preserve"> The percentage of students scoring at or above a level on the reading and mathematics state accountability tests that predict a high probability of postsecondary success (middle and high schools only) (incl</w:t>
      </w:r>
      <w:r w:rsidR="00B93BA9">
        <w:rPr>
          <w:rFonts w:ascii="Garamond" w:eastAsia="Calibri" w:hAnsi="Garamond" w:cs="Times New Roman"/>
        </w:rPr>
        <w:t xml:space="preserve">udes FAY students in grades 6-8, 10, </w:t>
      </w:r>
      <w:r w:rsidRPr="00C463B4">
        <w:rPr>
          <w:rFonts w:ascii="Garamond" w:eastAsia="Calibri" w:hAnsi="Garamond" w:cs="Times New Roman"/>
        </w:rPr>
        <w:t>&amp; 11)</w:t>
      </w:r>
    </w:p>
    <w:p w14:paraId="423A6E39" w14:textId="77777777" w:rsidR="00C463B4" w:rsidRPr="00C463B4" w:rsidRDefault="00C463B4" w:rsidP="00C463B4">
      <w:pPr>
        <w:numPr>
          <w:ilvl w:val="0"/>
          <w:numId w:val="1"/>
        </w:numPr>
        <w:spacing w:after="0" w:line="240" w:lineRule="auto"/>
        <w:contextualSpacing/>
        <w:rPr>
          <w:rFonts w:ascii="Garamond" w:eastAsia="Calibri" w:hAnsi="Garamond" w:cs="Times New Roman"/>
        </w:rPr>
      </w:pPr>
      <w:r w:rsidRPr="00C463B4">
        <w:rPr>
          <w:rFonts w:ascii="Garamond" w:eastAsia="Calibri" w:hAnsi="Garamond" w:cs="Times New Roman"/>
          <w:b/>
        </w:rPr>
        <w:t>Graduation Rate:</w:t>
      </w:r>
      <w:r w:rsidRPr="00C463B4">
        <w:rPr>
          <w:rFonts w:ascii="Garamond" w:eastAsia="Calibri" w:hAnsi="Garamond" w:cs="Times New Roman"/>
        </w:rPr>
        <w:t xml:space="preserve"> 5-year Cohort Rate: The percentage of ninth-grade students who finished high school within five years (high schools only)</w:t>
      </w:r>
    </w:p>
    <w:p w14:paraId="56A3457D" w14:textId="532F1992" w:rsidR="00C463B4" w:rsidRPr="00C463B4" w:rsidRDefault="00C463B4" w:rsidP="00C463B4">
      <w:pPr>
        <w:numPr>
          <w:ilvl w:val="0"/>
          <w:numId w:val="1"/>
        </w:numPr>
        <w:spacing w:after="0" w:line="240" w:lineRule="auto"/>
        <w:contextualSpacing/>
        <w:rPr>
          <w:rFonts w:ascii="Garamond" w:eastAsia="Calibri" w:hAnsi="Garamond" w:cs="Times New Roman"/>
        </w:rPr>
      </w:pPr>
      <w:r w:rsidRPr="00C463B4">
        <w:rPr>
          <w:rFonts w:ascii="Garamond" w:eastAsia="Calibri" w:hAnsi="Garamond" w:cs="Times New Roman"/>
          <w:b/>
        </w:rPr>
        <w:t>Attendance Rate:</w:t>
      </w:r>
      <w:r w:rsidRPr="00C463B4">
        <w:rPr>
          <w:rFonts w:ascii="Garamond" w:eastAsia="Calibri" w:hAnsi="Garamond" w:cs="Times New Roman"/>
        </w:rPr>
        <w:t xml:space="preserve"> The total number of days students were present divided by the total number enrolled, aggregated for all students in the school</w:t>
      </w:r>
      <w:r w:rsidR="004824D3">
        <w:rPr>
          <w:rFonts w:ascii="Garamond" w:eastAsia="Calibri" w:hAnsi="Garamond" w:cs="Times New Roman"/>
        </w:rPr>
        <w:t xml:space="preserve"> (grades K-12)</w:t>
      </w:r>
    </w:p>
    <w:p w14:paraId="50ADC2DF" w14:textId="77777777" w:rsidR="00C463B4" w:rsidRPr="00C463B4" w:rsidRDefault="00C463B4" w:rsidP="00C463B4">
      <w:pPr>
        <w:numPr>
          <w:ilvl w:val="0"/>
          <w:numId w:val="1"/>
        </w:numPr>
        <w:spacing w:after="0" w:line="240" w:lineRule="auto"/>
        <w:contextualSpacing/>
        <w:rPr>
          <w:rFonts w:ascii="Garamond" w:eastAsia="Calibri" w:hAnsi="Garamond" w:cs="Times New Roman"/>
        </w:rPr>
      </w:pPr>
      <w:r w:rsidRPr="00C463B4">
        <w:rPr>
          <w:rFonts w:ascii="Garamond" w:eastAsia="Calibri" w:hAnsi="Garamond" w:cs="Times New Roman"/>
          <w:b/>
        </w:rPr>
        <w:t>Staff Retention:</w:t>
      </w:r>
      <w:r w:rsidRPr="00C463B4">
        <w:rPr>
          <w:rFonts w:ascii="Garamond" w:eastAsia="Calibri" w:hAnsi="Garamond" w:cs="Times New Roman"/>
        </w:rPr>
        <w:t xml:space="preserve"> The percentage of teachers, school administrators, and other licensed staff members who remain employed at the school over consecutive school years</w:t>
      </w:r>
    </w:p>
    <w:p w14:paraId="3519C585" w14:textId="77777777" w:rsidR="00C463B4" w:rsidRDefault="00C463B4" w:rsidP="00C463B4">
      <w:pPr>
        <w:spacing w:after="0" w:line="240" w:lineRule="auto"/>
        <w:ind w:left="1080"/>
        <w:contextualSpacing/>
        <w:rPr>
          <w:rFonts w:ascii="Garamond" w:eastAsia="Calibri" w:hAnsi="Garamond" w:cs="Times New Roman"/>
        </w:rPr>
      </w:pPr>
      <w:r w:rsidRPr="00C463B4">
        <w:rPr>
          <w:rFonts w:ascii="Garamond" w:eastAsia="Calibri" w:hAnsi="Garamond" w:cs="Times New Roman"/>
        </w:rPr>
        <w:t>*Two other required measures, parent involvement and community activities/involvement, will be defined and included in the School Report Card at a later date</w:t>
      </w:r>
    </w:p>
    <w:p w14:paraId="38BB575C" w14:textId="77777777" w:rsidR="00C463B4" w:rsidRPr="00C463B4" w:rsidRDefault="00C463B4" w:rsidP="00C463B4">
      <w:pPr>
        <w:spacing w:after="0" w:line="240" w:lineRule="auto"/>
        <w:ind w:left="1080"/>
        <w:contextualSpacing/>
        <w:rPr>
          <w:rFonts w:ascii="Garamond" w:eastAsia="Calibri" w:hAnsi="Garamond" w:cs="Times New Roman"/>
        </w:rPr>
      </w:pPr>
      <w:r>
        <w:rPr>
          <w:rFonts w:ascii="Garamond" w:eastAsia="Calibri" w:hAnsi="Garamond" w:cs="Times New Roman"/>
        </w:rPr>
        <w:t>**This is not a measure of growth, but a measure of college readiness/proficiency.  See the attached document for more information on this measure.</w:t>
      </w:r>
    </w:p>
    <w:p w14:paraId="06132850" w14:textId="77777777" w:rsidR="00C463B4" w:rsidRDefault="00C463B4" w:rsidP="00C463B4">
      <w:pPr>
        <w:spacing w:after="0"/>
        <w:rPr>
          <w:rFonts w:ascii="Garamond" w:eastAsia="Calibri" w:hAnsi="Garamond" w:cs="Times New Roman"/>
        </w:rPr>
      </w:pPr>
      <w:r w:rsidRPr="00C463B4">
        <w:rPr>
          <w:rFonts w:ascii="Garamond" w:eastAsia="Calibri" w:hAnsi="Garamond" w:cs="Times New Roman"/>
        </w:rPr>
        <w:t>For each measure, two years of data is averaged together.  The data released in December will include data from the 2013-14 and 2014-15 school</w:t>
      </w:r>
      <w:r>
        <w:rPr>
          <w:rFonts w:ascii="Garamond" w:eastAsia="Calibri" w:hAnsi="Garamond" w:cs="Times New Roman"/>
        </w:rPr>
        <w:t xml:space="preserve"> year.</w:t>
      </w:r>
    </w:p>
    <w:p w14:paraId="27FE27E8" w14:textId="77777777" w:rsidR="00C463B4" w:rsidRDefault="00C463B4" w:rsidP="00C463B4">
      <w:pPr>
        <w:spacing w:after="0" w:line="240" w:lineRule="auto"/>
        <w:contextualSpacing/>
        <w:rPr>
          <w:rFonts w:ascii="Garamond" w:eastAsia="Calibri" w:hAnsi="Garamond" w:cs="Times New Roman"/>
        </w:rPr>
      </w:pPr>
    </w:p>
    <w:p w14:paraId="5C4DB483" w14:textId="77777777" w:rsidR="00C463B4" w:rsidRPr="00C463B4" w:rsidRDefault="00C463B4" w:rsidP="00C463B4">
      <w:pPr>
        <w:keepNext/>
        <w:keepLines/>
        <w:spacing w:after="0" w:line="240" w:lineRule="auto"/>
        <w:outlineLvl w:val="1"/>
        <w:rPr>
          <w:rFonts w:ascii="Gill Sans MT" w:eastAsia="Times New Roman" w:hAnsi="Gill Sans MT" w:cs="Times New Roman"/>
          <w:b/>
          <w:bCs/>
          <w:szCs w:val="26"/>
        </w:rPr>
      </w:pPr>
      <w:r w:rsidRPr="00C463B4">
        <w:rPr>
          <w:rFonts w:ascii="Gill Sans MT" w:eastAsia="Times New Roman" w:hAnsi="Gill Sans MT" w:cs="Times New Roman"/>
          <w:b/>
          <w:bCs/>
          <w:szCs w:val="26"/>
        </w:rPr>
        <w:t xml:space="preserve">How </w:t>
      </w:r>
      <w:r>
        <w:rPr>
          <w:rFonts w:ascii="Gill Sans MT" w:eastAsia="Times New Roman" w:hAnsi="Gill Sans MT" w:cs="Times New Roman"/>
          <w:b/>
          <w:bCs/>
          <w:szCs w:val="26"/>
        </w:rPr>
        <w:t xml:space="preserve">Categories and </w:t>
      </w:r>
      <w:r w:rsidRPr="00C463B4">
        <w:rPr>
          <w:rFonts w:ascii="Gill Sans MT" w:eastAsia="Times New Roman" w:hAnsi="Gill Sans MT" w:cs="Times New Roman"/>
          <w:b/>
          <w:bCs/>
          <w:szCs w:val="26"/>
        </w:rPr>
        <w:t>Ratings are Calculated</w:t>
      </w:r>
    </w:p>
    <w:p w14:paraId="70436E69" w14:textId="77777777" w:rsidR="00AD54E7" w:rsidRDefault="00C463B4" w:rsidP="00C463B4">
      <w:pPr>
        <w:spacing w:after="0" w:line="240" w:lineRule="auto"/>
        <w:rPr>
          <w:rFonts w:ascii="Garamond" w:eastAsia="Calibri" w:hAnsi="Garamond" w:cs="Times New Roman"/>
        </w:rPr>
      </w:pPr>
      <w:r w:rsidRPr="00C463B4">
        <w:rPr>
          <w:rFonts w:ascii="Garamond" w:eastAsia="Calibri" w:hAnsi="Garamond" w:cs="Times New Roman"/>
        </w:rPr>
        <w:t xml:space="preserve">Each measure has a value from 1 to 100, which is multiplied by a weight to create a score for each measure. </w:t>
      </w:r>
    </w:p>
    <w:p w14:paraId="6FE09947" w14:textId="65EF92F3" w:rsidR="00C463B4" w:rsidRPr="00C463B4" w:rsidRDefault="00C463B4" w:rsidP="00C463B4">
      <w:pPr>
        <w:spacing w:after="0" w:line="240" w:lineRule="auto"/>
        <w:rPr>
          <w:rFonts w:ascii="Garamond" w:eastAsia="Calibri" w:hAnsi="Garamond" w:cs="Times New Roman"/>
        </w:rPr>
      </w:pPr>
      <w:r w:rsidRPr="00C463B4">
        <w:rPr>
          <w:rFonts w:ascii="Garamond" w:eastAsia="Calibri" w:hAnsi="Garamond" w:cs="Times New Roman"/>
        </w:rPr>
        <w:t xml:space="preserve"> </w:t>
      </w:r>
    </w:p>
    <w:tbl>
      <w:tblPr>
        <w:tblStyle w:val="TableGrid"/>
        <w:tblW w:w="0" w:type="auto"/>
        <w:jc w:val="center"/>
        <w:tblLook w:val="04A0" w:firstRow="1" w:lastRow="0" w:firstColumn="1" w:lastColumn="0" w:noHBand="0" w:noVBand="1"/>
      </w:tblPr>
      <w:tblGrid>
        <w:gridCol w:w="3235"/>
        <w:gridCol w:w="2070"/>
        <w:gridCol w:w="2070"/>
        <w:gridCol w:w="1975"/>
      </w:tblGrid>
      <w:tr w:rsidR="00C463B4" w:rsidRPr="00C463B4" w14:paraId="3D4CEB4E" w14:textId="77777777" w:rsidTr="004F4EDD">
        <w:trPr>
          <w:jc w:val="center"/>
        </w:trPr>
        <w:tc>
          <w:tcPr>
            <w:tcW w:w="3235" w:type="dxa"/>
            <w:vMerge w:val="restart"/>
            <w:shd w:val="clear" w:color="auto" w:fill="D9D9D9" w:themeFill="background1" w:themeFillShade="D9"/>
          </w:tcPr>
          <w:p w14:paraId="16653973" w14:textId="77777777" w:rsidR="00C463B4" w:rsidRPr="00C463B4" w:rsidRDefault="00C463B4" w:rsidP="00C463B4">
            <w:pPr>
              <w:rPr>
                <w:rFonts w:ascii="Garamond" w:eastAsia="Calibri" w:hAnsi="Garamond" w:cs="Times New Roman"/>
              </w:rPr>
            </w:pPr>
            <w:r w:rsidRPr="00C463B4">
              <w:rPr>
                <w:rFonts w:ascii="Garamond" w:eastAsia="Calibri" w:hAnsi="Garamond" w:cs="Times New Roman"/>
              </w:rPr>
              <w:t>Measure</w:t>
            </w:r>
          </w:p>
        </w:tc>
        <w:tc>
          <w:tcPr>
            <w:tcW w:w="6115" w:type="dxa"/>
            <w:gridSpan w:val="3"/>
            <w:shd w:val="clear" w:color="auto" w:fill="D9D9D9" w:themeFill="background1" w:themeFillShade="D9"/>
          </w:tcPr>
          <w:p w14:paraId="44599F9C" w14:textId="77777777" w:rsidR="00C463B4" w:rsidRPr="00C463B4" w:rsidRDefault="00C463B4" w:rsidP="00C463B4">
            <w:pPr>
              <w:jc w:val="center"/>
              <w:rPr>
                <w:rFonts w:ascii="Garamond" w:eastAsia="Calibri" w:hAnsi="Garamond" w:cs="Times New Roman"/>
              </w:rPr>
            </w:pPr>
            <w:r>
              <w:rPr>
                <w:rFonts w:ascii="Garamond" w:eastAsia="Calibri" w:hAnsi="Garamond" w:cs="Times New Roman"/>
              </w:rPr>
              <w:t>Percent of Rating (W</w:t>
            </w:r>
            <w:r w:rsidRPr="00C463B4">
              <w:rPr>
                <w:rFonts w:ascii="Garamond" w:eastAsia="Calibri" w:hAnsi="Garamond" w:cs="Times New Roman"/>
              </w:rPr>
              <w:t>eight)</w:t>
            </w:r>
          </w:p>
        </w:tc>
      </w:tr>
      <w:tr w:rsidR="00C463B4" w:rsidRPr="00C463B4" w14:paraId="00C75905" w14:textId="77777777" w:rsidTr="004F4EDD">
        <w:trPr>
          <w:jc w:val="center"/>
        </w:trPr>
        <w:tc>
          <w:tcPr>
            <w:tcW w:w="3235" w:type="dxa"/>
            <w:vMerge/>
            <w:shd w:val="clear" w:color="auto" w:fill="D9D9D9" w:themeFill="background1" w:themeFillShade="D9"/>
          </w:tcPr>
          <w:p w14:paraId="4AEBDBB0" w14:textId="77777777" w:rsidR="00C463B4" w:rsidRPr="00C463B4" w:rsidRDefault="00C463B4" w:rsidP="00C463B4">
            <w:pPr>
              <w:rPr>
                <w:rFonts w:ascii="Garamond" w:eastAsia="Calibri" w:hAnsi="Garamond" w:cs="Times New Roman"/>
              </w:rPr>
            </w:pPr>
          </w:p>
        </w:tc>
        <w:tc>
          <w:tcPr>
            <w:tcW w:w="2070" w:type="dxa"/>
            <w:shd w:val="clear" w:color="auto" w:fill="D9D9D9" w:themeFill="background1" w:themeFillShade="D9"/>
          </w:tcPr>
          <w:p w14:paraId="5557CC4C" w14:textId="77777777" w:rsidR="00C463B4" w:rsidRPr="00C463B4" w:rsidRDefault="00C463B4" w:rsidP="00C463B4">
            <w:pPr>
              <w:jc w:val="center"/>
              <w:rPr>
                <w:rFonts w:ascii="Garamond" w:eastAsia="Calibri" w:hAnsi="Garamond" w:cs="Times New Roman"/>
              </w:rPr>
            </w:pPr>
            <w:r w:rsidRPr="00C463B4">
              <w:rPr>
                <w:rFonts w:ascii="Garamond" w:eastAsia="Calibri" w:hAnsi="Garamond" w:cs="Times New Roman"/>
              </w:rPr>
              <w:t>Elementary Schools</w:t>
            </w:r>
          </w:p>
        </w:tc>
        <w:tc>
          <w:tcPr>
            <w:tcW w:w="2070" w:type="dxa"/>
            <w:shd w:val="clear" w:color="auto" w:fill="D9D9D9" w:themeFill="background1" w:themeFillShade="D9"/>
          </w:tcPr>
          <w:p w14:paraId="244565E3" w14:textId="77777777" w:rsidR="00C463B4" w:rsidRPr="00C463B4" w:rsidRDefault="00C463B4" w:rsidP="00C463B4">
            <w:pPr>
              <w:jc w:val="center"/>
              <w:rPr>
                <w:rFonts w:ascii="Garamond" w:eastAsia="Calibri" w:hAnsi="Garamond" w:cs="Times New Roman"/>
              </w:rPr>
            </w:pPr>
            <w:r w:rsidRPr="00C463B4">
              <w:rPr>
                <w:rFonts w:ascii="Garamond" w:eastAsia="Calibri" w:hAnsi="Garamond" w:cs="Times New Roman"/>
              </w:rPr>
              <w:t>Middle Schools</w:t>
            </w:r>
          </w:p>
        </w:tc>
        <w:tc>
          <w:tcPr>
            <w:tcW w:w="1975" w:type="dxa"/>
            <w:shd w:val="clear" w:color="auto" w:fill="D9D9D9" w:themeFill="background1" w:themeFillShade="D9"/>
          </w:tcPr>
          <w:p w14:paraId="15628CFC" w14:textId="77777777" w:rsidR="00C463B4" w:rsidRPr="00C463B4" w:rsidRDefault="00C463B4" w:rsidP="00C463B4">
            <w:pPr>
              <w:jc w:val="center"/>
              <w:rPr>
                <w:rFonts w:ascii="Garamond" w:eastAsia="Calibri" w:hAnsi="Garamond" w:cs="Times New Roman"/>
              </w:rPr>
            </w:pPr>
            <w:r w:rsidRPr="00C463B4">
              <w:rPr>
                <w:rFonts w:ascii="Garamond" w:eastAsia="Calibri" w:hAnsi="Garamond" w:cs="Times New Roman"/>
              </w:rPr>
              <w:t>High Schools</w:t>
            </w:r>
          </w:p>
        </w:tc>
      </w:tr>
      <w:tr w:rsidR="00C463B4" w:rsidRPr="00C463B4" w14:paraId="4F873F20" w14:textId="77777777" w:rsidTr="004F4EDD">
        <w:trPr>
          <w:jc w:val="center"/>
        </w:trPr>
        <w:tc>
          <w:tcPr>
            <w:tcW w:w="3235" w:type="dxa"/>
          </w:tcPr>
          <w:p w14:paraId="7AAED481" w14:textId="77777777" w:rsidR="00C463B4" w:rsidRPr="00C463B4" w:rsidRDefault="00C463B4" w:rsidP="00C463B4">
            <w:pPr>
              <w:rPr>
                <w:rFonts w:ascii="Garamond" w:eastAsia="Calibri" w:hAnsi="Garamond" w:cs="Times New Roman"/>
              </w:rPr>
            </w:pPr>
            <w:r w:rsidRPr="00C463B4">
              <w:rPr>
                <w:rFonts w:ascii="Garamond" w:eastAsia="Calibri" w:hAnsi="Garamond" w:cs="Times New Roman"/>
              </w:rPr>
              <w:t>Proficiency</w:t>
            </w:r>
          </w:p>
        </w:tc>
        <w:tc>
          <w:tcPr>
            <w:tcW w:w="2070" w:type="dxa"/>
          </w:tcPr>
          <w:p w14:paraId="201B41D7" w14:textId="01D07829" w:rsidR="00C463B4" w:rsidRPr="00C463B4" w:rsidRDefault="00FF4731" w:rsidP="00C463B4">
            <w:pPr>
              <w:jc w:val="center"/>
              <w:rPr>
                <w:rFonts w:ascii="Garamond" w:eastAsia="Calibri" w:hAnsi="Garamond" w:cs="Times New Roman"/>
              </w:rPr>
            </w:pPr>
            <w:r>
              <w:rPr>
                <w:rFonts w:ascii="Garamond" w:eastAsia="Calibri" w:hAnsi="Garamond" w:cs="Times New Roman"/>
              </w:rPr>
              <w:t>28.6</w:t>
            </w:r>
            <w:r w:rsidR="00C463B4" w:rsidRPr="00C463B4">
              <w:rPr>
                <w:rFonts w:ascii="Garamond" w:eastAsia="Calibri" w:hAnsi="Garamond" w:cs="Times New Roman"/>
              </w:rPr>
              <w:t>%</w:t>
            </w:r>
          </w:p>
        </w:tc>
        <w:tc>
          <w:tcPr>
            <w:tcW w:w="2070" w:type="dxa"/>
          </w:tcPr>
          <w:p w14:paraId="50B9A68D" w14:textId="7D4D7C0A" w:rsidR="00C463B4" w:rsidRPr="00C463B4" w:rsidRDefault="00C463B4" w:rsidP="00C463B4">
            <w:pPr>
              <w:jc w:val="center"/>
              <w:rPr>
                <w:rFonts w:ascii="Garamond" w:eastAsia="Calibri" w:hAnsi="Garamond" w:cs="Times New Roman"/>
              </w:rPr>
            </w:pPr>
            <w:r w:rsidRPr="00C463B4">
              <w:rPr>
                <w:rFonts w:ascii="Garamond" w:eastAsia="Calibri" w:hAnsi="Garamond" w:cs="Times New Roman"/>
              </w:rPr>
              <w:t>2</w:t>
            </w:r>
            <w:r w:rsidR="00FF4731">
              <w:rPr>
                <w:rFonts w:ascii="Garamond" w:eastAsia="Calibri" w:hAnsi="Garamond" w:cs="Times New Roman"/>
              </w:rPr>
              <w:t>5.</w:t>
            </w:r>
            <w:r w:rsidRPr="00C463B4">
              <w:rPr>
                <w:rFonts w:ascii="Garamond" w:eastAsia="Calibri" w:hAnsi="Garamond" w:cs="Times New Roman"/>
              </w:rPr>
              <w:t>0%</w:t>
            </w:r>
          </w:p>
        </w:tc>
        <w:tc>
          <w:tcPr>
            <w:tcW w:w="1975" w:type="dxa"/>
          </w:tcPr>
          <w:p w14:paraId="7D375A11" w14:textId="6143E49C" w:rsidR="00C463B4" w:rsidRPr="00C463B4" w:rsidRDefault="00FF4731" w:rsidP="00C463B4">
            <w:pPr>
              <w:jc w:val="center"/>
              <w:rPr>
                <w:rFonts w:ascii="Garamond" w:eastAsia="Calibri" w:hAnsi="Garamond" w:cs="Times New Roman"/>
              </w:rPr>
            </w:pPr>
            <w:r>
              <w:rPr>
                <w:rFonts w:ascii="Garamond" w:eastAsia="Calibri" w:hAnsi="Garamond" w:cs="Times New Roman"/>
              </w:rPr>
              <w:t>22.2</w:t>
            </w:r>
            <w:r w:rsidR="00C463B4" w:rsidRPr="00C463B4">
              <w:rPr>
                <w:rFonts w:ascii="Garamond" w:eastAsia="Calibri" w:hAnsi="Garamond" w:cs="Times New Roman"/>
              </w:rPr>
              <w:t>%</w:t>
            </w:r>
          </w:p>
        </w:tc>
      </w:tr>
      <w:tr w:rsidR="00C463B4" w:rsidRPr="00C463B4" w14:paraId="30ED653D" w14:textId="77777777" w:rsidTr="004F4EDD">
        <w:trPr>
          <w:jc w:val="center"/>
        </w:trPr>
        <w:tc>
          <w:tcPr>
            <w:tcW w:w="3235" w:type="dxa"/>
          </w:tcPr>
          <w:p w14:paraId="128D9FB2" w14:textId="77777777" w:rsidR="00C463B4" w:rsidRPr="00C463B4" w:rsidRDefault="00C463B4" w:rsidP="00C463B4">
            <w:pPr>
              <w:rPr>
                <w:rFonts w:ascii="Garamond" w:eastAsia="Calibri" w:hAnsi="Garamond" w:cs="Times New Roman"/>
              </w:rPr>
            </w:pPr>
            <w:r w:rsidRPr="00C463B4">
              <w:rPr>
                <w:rFonts w:ascii="Garamond" w:eastAsia="Calibri" w:hAnsi="Garamond" w:cs="Times New Roman"/>
              </w:rPr>
              <w:t>Closing Achievement Gap</w:t>
            </w:r>
          </w:p>
        </w:tc>
        <w:tc>
          <w:tcPr>
            <w:tcW w:w="2070" w:type="dxa"/>
          </w:tcPr>
          <w:p w14:paraId="5E3426CF" w14:textId="1C0D09E2" w:rsidR="00C463B4" w:rsidRPr="00C463B4" w:rsidRDefault="00FF4731" w:rsidP="00C463B4">
            <w:pPr>
              <w:jc w:val="center"/>
              <w:rPr>
                <w:rFonts w:ascii="Garamond" w:eastAsia="Calibri" w:hAnsi="Garamond" w:cs="Times New Roman"/>
              </w:rPr>
            </w:pPr>
            <w:r>
              <w:rPr>
                <w:rFonts w:ascii="Garamond" w:eastAsia="Calibri" w:hAnsi="Garamond" w:cs="Times New Roman"/>
              </w:rPr>
              <w:t>28.6</w:t>
            </w:r>
            <w:r w:rsidR="00C463B4" w:rsidRPr="00C463B4">
              <w:rPr>
                <w:rFonts w:ascii="Garamond" w:eastAsia="Calibri" w:hAnsi="Garamond" w:cs="Times New Roman"/>
              </w:rPr>
              <w:t>%</w:t>
            </w:r>
          </w:p>
        </w:tc>
        <w:tc>
          <w:tcPr>
            <w:tcW w:w="2070" w:type="dxa"/>
          </w:tcPr>
          <w:p w14:paraId="11C1C76B" w14:textId="209C7AE7" w:rsidR="00C463B4" w:rsidRPr="00C463B4" w:rsidRDefault="00C463B4" w:rsidP="00C463B4">
            <w:pPr>
              <w:jc w:val="center"/>
              <w:rPr>
                <w:rFonts w:ascii="Garamond" w:eastAsia="Calibri" w:hAnsi="Garamond" w:cs="Times New Roman"/>
              </w:rPr>
            </w:pPr>
            <w:r w:rsidRPr="00C463B4">
              <w:rPr>
                <w:rFonts w:ascii="Garamond" w:eastAsia="Calibri" w:hAnsi="Garamond" w:cs="Times New Roman"/>
              </w:rPr>
              <w:t>2</w:t>
            </w:r>
            <w:r w:rsidR="00FF4731">
              <w:rPr>
                <w:rFonts w:ascii="Garamond" w:eastAsia="Calibri" w:hAnsi="Garamond" w:cs="Times New Roman"/>
              </w:rPr>
              <w:t>5.</w:t>
            </w:r>
            <w:r w:rsidRPr="00C463B4">
              <w:rPr>
                <w:rFonts w:ascii="Garamond" w:eastAsia="Calibri" w:hAnsi="Garamond" w:cs="Times New Roman"/>
              </w:rPr>
              <w:t>0%</w:t>
            </w:r>
          </w:p>
        </w:tc>
        <w:tc>
          <w:tcPr>
            <w:tcW w:w="1975" w:type="dxa"/>
          </w:tcPr>
          <w:p w14:paraId="520BFCC8" w14:textId="73FFECCF" w:rsidR="00C463B4" w:rsidRPr="00C463B4" w:rsidRDefault="00FF4731" w:rsidP="00C463B4">
            <w:pPr>
              <w:jc w:val="center"/>
              <w:rPr>
                <w:rFonts w:ascii="Garamond" w:eastAsia="Calibri" w:hAnsi="Garamond" w:cs="Times New Roman"/>
              </w:rPr>
            </w:pPr>
            <w:r>
              <w:rPr>
                <w:rFonts w:ascii="Garamond" w:eastAsia="Calibri" w:hAnsi="Garamond" w:cs="Times New Roman"/>
              </w:rPr>
              <w:t>22.2</w:t>
            </w:r>
            <w:r w:rsidR="00C463B4" w:rsidRPr="00C463B4">
              <w:rPr>
                <w:rFonts w:ascii="Garamond" w:eastAsia="Calibri" w:hAnsi="Garamond" w:cs="Times New Roman"/>
              </w:rPr>
              <w:t>%</w:t>
            </w:r>
          </w:p>
        </w:tc>
      </w:tr>
      <w:tr w:rsidR="00C463B4" w:rsidRPr="00C463B4" w14:paraId="67C73A28" w14:textId="77777777" w:rsidTr="004F4EDD">
        <w:trPr>
          <w:jc w:val="center"/>
        </w:trPr>
        <w:tc>
          <w:tcPr>
            <w:tcW w:w="3235" w:type="dxa"/>
          </w:tcPr>
          <w:p w14:paraId="1E51B42C" w14:textId="77777777" w:rsidR="00C463B4" w:rsidRPr="00C463B4" w:rsidRDefault="00C463B4" w:rsidP="00C463B4">
            <w:pPr>
              <w:rPr>
                <w:rFonts w:ascii="Garamond" w:eastAsia="Calibri" w:hAnsi="Garamond" w:cs="Times New Roman"/>
              </w:rPr>
            </w:pPr>
            <w:r w:rsidRPr="00C463B4">
              <w:rPr>
                <w:rFonts w:ascii="Garamond" w:eastAsia="Calibri" w:hAnsi="Garamond" w:cs="Times New Roman"/>
              </w:rPr>
              <w:t>College and Career Ready Growth</w:t>
            </w:r>
          </w:p>
        </w:tc>
        <w:tc>
          <w:tcPr>
            <w:tcW w:w="2070" w:type="dxa"/>
          </w:tcPr>
          <w:p w14:paraId="3F79BBC0" w14:textId="459C4D96" w:rsidR="00C463B4" w:rsidRPr="00C463B4" w:rsidRDefault="00FF4731" w:rsidP="00C463B4">
            <w:pPr>
              <w:jc w:val="center"/>
              <w:rPr>
                <w:rFonts w:ascii="Garamond" w:eastAsia="Calibri" w:hAnsi="Garamond" w:cs="Times New Roman"/>
              </w:rPr>
            </w:pPr>
            <w:r>
              <w:rPr>
                <w:rFonts w:ascii="Garamond" w:eastAsia="Calibri" w:hAnsi="Garamond" w:cs="Times New Roman"/>
              </w:rPr>
              <w:t>14.3</w:t>
            </w:r>
            <w:r w:rsidR="00C463B4" w:rsidRPr="00C463B4">
              <w:rPr>
                <w:rFonts w:ascii="Garamond" w:eastAsia="Calibri" w:hAnsi="Garamond" w:cs="Times New Roman"/>
              </w:rPr>
              <w:t>%</w:t>
            </w:r>
          </w:p>
        </w:tc>
        <w:tc>
          <w:tcPr>
            <w:tcW w:w="2070" w:type="dxa"/>
          </w:tcPr>
          <w:p w14:paraId="3C247E55" w14:textId="2C7EBA7B" w:rsidR="00C463B4" w:rsidRPr="00C463B4" w:rsidRDefault="00FF4731" w:rsidP="00C463B4">
            <w:pPr>
              <w:jc w:val="center"/>
              <w:rPr>
                <w:rFonts w:ascii="Garamond" w:eastAsia="Calibri" w:hAnsi="Garamond" w:cs="Times New Roman"/>
              </w:rPr>
            </w:pPr>
            <w:r>
              <w:rPr>
                <w:rFonts w:ascii="Garamond" w:eastAsia="Calibri" w:hAnsi="Garamond" w:cs="Times New Roman"/>
              </w:rPr>
              <w:t>12.5</w:t>
            </w:r>
            <w:r w:rsidR="00C463B4" w:rsidRPr="00C463B4">
              <w:rPr>
                <w:rFonts w:ascii="Garamond" w:eastAsia="Calibri" w:hAnsi="Garamond" w:cs="Times New Roman"/>
              </w:rPr>
              <w:t>%</w:t>
            </w:r>
          </w:p>
        </w:tc>
        <w:tc>
          <w:tcPr>
            <w:tcW w:w="1975" w:type="dxa"/>
          </w:tcPr>
          <w:p w14:paraId="5F0F4497" w14:textId="184FC8D8" w:rsidR="00C463B4" w:rsidRPr="00C463B4" w:rsidRDefault="00FF4731" w:rsidP="00C463B4">
            <w:pPr>
              <w:jc w:val="center"/>
              <w:rPr>
                <w:rFonts w:ascii="Garamond" w:eastAsia="Calibri" w:hAnsi="Garamond" w:cs="Times New Roman"/>
              </w:rPr>
            </w:pPr>
            <w:r>
              <w:rPr>
                <w:rFonts w:ascii="Garamond" w:eastAsia="Calibri" w:hAnsi="Garamond" w:cs="Times New Roman"/>
              </w:rPr>
              <w:t>11.1</w:t>
            </w:r>
            <w:r w:rsidR="00C463B4" w:rsidRPr="00C463B4">
              <w:rPr>
                <w:rFonts w:ascii="Garamond" w:eastAsia="Calibri" w:hAnsi="Garamond" w:cs="Times New Roman"/>
              </w:rPr>
              <w:t>%</w:t>
            </w:r>
          </w:p>
        </w:tc>
      </w:tr>
      <w:tr w:rsidR="00C463B4" w:rsidRPr="00C463B4" w14:paraId="6B26E47A" w14:textId="77777777" w:rsidTr="004F4EDD">
        <w:trPr>
          <w:jc w:val="center"/>
        </w:trPr>
        <w:tc>
          <w:tcPr>
            <w:tcW w:w="3235" w:type="dxa"/>
          </w:tcPr>
          <w:p w14:paraId="610F008C" w14:textId="77777777" w:rsidR="00C463B4" w:rsidRPr="00C463B4" w:rsidRDefault="00C463B4" w:rsidP="00C463B4">
            <w:pPr>
              <w:rPr>
                <w:rFonts w:ascii="Garamond" w:eastAsia="Calibri" w:hAnsi="Garamond" w:cs="Times New Roman"/>
              </w:rPr>
            </w:pPr>
            <w:r w:rsidRPr="00C463B4">
              <w:rPr>
                <w:rFonts w:ascii="Garamond" w:eastAsia="Calibri" w:hAnsi="Garamond" w:cs="Times New Roman"/>
              </w:rPr>
              <w:t>Annual Expected Growth</w:t>
            </w:r>
          </w:p>
        </w:tc>
        <w:tc>
          <w:tcPr>
            <w:tcW w:w="2070" w:type="dxa"/>
          </w:tcPr>
          <w:p w14:paraId="1794E9E8" w14:textId="365CF784" w:rsidR="00C463B4" w:rsidRPr="00C463B4" w:rsidRDefault="00FF4731" w:rsidP="00C463B4">
            <w:pPr>
              <w:jc w:val="center"/>
              <w:rPr>
                <w:rFonts w:ascii="Garamond" w:eastAsia="Calibri" w:hAnsi="Garamond" w:cs="Times New Roman"/>
              </w:rPr>
            </w:pPr>
            <w:r>
              <w:rPr>
                <w:rFonts w:ascii="Garamond" w:eastAsia="Calibri" w:hAnsi="Garamond" w:cs="Times New Roman"/>
              </w:rPr>
              <w:t>14.3</w:t>
            </w:r>
            <w:r w:rsidR="00C463B4" w:rsidRPr="00C463B4">
              <w:rPr>
                <w:rFonts w:ascii="Garamond" w:eastAsia="Calibri" w:hAnsi="Garamond" w:cs="Times New Roman"/>
              </w:rPr>
              <w:t>%</w:t>
            </w:r>
          </w:p>
        </w:tc>
        <w:tc>
          <w:tcPr>
            <w:tcW w:w="2070" w:type="dxa"/>
          </w:tcPr>
          <w:p w14:paraId="46DE241A" w14:textId="5B73C138" w:rsidR="00C463B4" w:rsidRPr="00C463B4" w:rsidRDefault="00FF4731" w:rsidP="00C463B4">
            <w:pPr>
              <w:jc w:val="center"/>
              <w:rPr>
                <w:rFonts w:ascii="Garamond" w:eastAsia="Calibri" w:hAnsi="Garamond" w:cs="Times New Roman"/>
              </w:rPr>
            </w:pPr>
            <w:r>
              <w:rPr>
                <w:rFonts w:ascii="Garamond" w:eastAsia="Calibri" w:hAnsi="Garamond" w:cs="Times New Roman"/>
              </w:rPr>
              <w:t>12.5</w:t>
            </w:r>
            <w:r w:rsidR="00C463B4" w:rsidRPr="00C463B4">
              <w:rPr>
                <w:rFonts w:ascii="Garamond" w:eastAsia="Calibri" w:hAnsi="Garamond" w:cs="Times New Roman"/>
              </w:rPr>
              <w:t>%</w:t>
            </w:r>
          </w:p>
        </w:tc>
        <w:tc>
          <w:tcPr>
            <w:tcW w:w="1975" w:type="dxa"/>
          </w:tcPr>
          <w:p w14:paraId="531BC379" w14:textId="63F18196" w:rsidR="00C463B4" w:rsidRPr="00C463B4" w:rsidRDefault="00FF4731" w:rsidP="00C463B4">
            <w:pPr>
              <w:jc w:val="center"/>
              <w:rPr>
                <w:rFonts w:ascii="Garamond" w:eastAsia="Calibri" w:hAnsi="Garamond" w:cs="Times New Roman"/>
              </w:rPr>
            </w:pPr>
            <w:r>
              <w:rPr>
                <w:rFonts w:ascii="Garamond" w:eastAsia="Calibri" w:hAnsi="Garamond" w:cs="Times New Roman"/>
              </w:rPr>
              <w:t>11.1</w:t>
            </w:r>
            <w:r w:rsidR="00C463B4" w:rsidRPr="00C463B4">
              <w:rPr>
                <w:rFonts w:ascii="Garamond" w:eastAsia="Calibri" w:hAnsi="Garamond" w:cs="Times New Roman"/>
              </w:rPr>
              <w:t>%</w:t>
            </w:r>
          </w:p>
        </w:tc>
      </w:tr>
      <w:tr w:rsidR="00C463B4" w:rsidRPr="00C463B4" w14:paraId="6AA13A30" w14:textId="77777777" w:rsidTr="004F4EDD">
        <w:trPr>
          <w:jc w:val="center"/>
        </w:trPr>
        <w:tc>
          <w:tcPr>
            <w:tcW w:w="3235" w:type="dxa"/>
          </w:tcPr>
          <w:p w14:paraId="4E180F43" w14:textId="77777777" w:rsidR="00C463B4" w:rsidRPr="00C463B4" w:rsidRDefault="00C463B4" w:rsidP="00C463B4">
            <w:pPr>
              <w:rPr>
                <w:rFonts w:ascii="Garamond" w:eastAsia="Calibri" w:hAnsi="Garamond" w:cs="Times New Roman"/>
              </w:rPr>
            </w:pPr>
            <w:r w:rsidRPr="00C463B4">
              <w:rPr>
                <w:rFonts w:ascii="Garamond" w:eastAsia="Calibri" w:hAnsi="Garamond" w:cs="Times New Roman"/>
              </w:rPr>
              <w:t>College and Career Readiness</w:t>
            </w:r>
          </w:p>
        </w:tc>
        <w:tc>
          <w:tcPr>
            <w:tcW w:w="2070" w:type="dxa"/>
          </w:tcPr>
          <w:p w14:paraId="0C0E4965" w14:textId="77777777" w:rsidR="00C463B4" w:rsidRPr="00C463B4" w:rsidRDefault="00C463B4" w:rsidP="00C463B4">
            <w:pPr>
              <w:jc w:val="center"/>
              <w:rPr>
                <w:rFonts w:ascii="Garamond" w:eastAsia="Calibri" w:hAnsi="Garamond" w:cs="Times New Roman"/>
              </w:rPr>
            </w:pPr>
          </w:p>
        </w:tc>
        <w:tc>
          <w:tcPr>
            <w:tcW w:w="2070" w:type="dxa"/>
          </w:tcPr>
          <w:p w14:paraId="1B22692E" w14:textId="5AFD3024" w:rsidR="00C463B4" w:rsidRPr="00C463B4" w:rsidRDefault="00FF4731" w:rsidP="00C463B4">
            <w:pPr>
              <w:jc w:val="center"/>
              <w:rPr>
                <w:rFonts w:ascii="Garamond" w:eastAsia="Calibri" w:hAnsi="Garamond" w:cs="Times New Roman"/>
              </w:rPr>
            </w:pPr>
            <w:r>
              <w:rPr>
                <w:rFonts w:ascii="Garamond" w:eastAsia="Calibri" w:hAnsi="Garamond" w:cs="Times New Roman"/>
              </w:rPr>
              <w:t>12.5</w:t>
            </w:r>
            <w:r w:rsidR="00C463B4" w:rsidRPr="00C463B4">
              <w:rPr>
                <w:rFonts w:ascii="Garamond" w:eastAsia="Calibri" w:hAnsi="Garamond" w:cs="Times New Roman"/>
              </w:rPr>
              <w:t>%</w:t>
            </w:r>
          </w:p>
        </w:tc>
        <w:tc>
          <w:tcPr>
            <w:tcW w:w="1975" w:type="dxa"/>
          </w:tcPr>
          <w:p w14:paraId="1229DA1D" w14:textId="3EA33D9B" w:rsidR="00C463B4" w:rsidRPr="00C463B4" w:rsidRDefault="00FF4731" w:rsidP="00C463B4">
            <w:pPr>
              <w:jc w:val="center"/>
              <w:rPr>
                <w:rFonts w:ascii="Garamond" w:eastAsia="Calibri" w:hAnsi="Garamond" w:cs="Times New Roman"/>
              </w:rPr>
            </w:pPr>
            <w:r>
              <w:rPr>
                <w:rFonts w:ascii="Garamond" w:eastAsia="Calibri" w:hAnsi="Garamond" w:cs="Times New Roman"/>
              </w:rPr>
              <w:t>11.1</w:t>
            </w:r>
            <w:r w:rsidR="00C463B4" w:rsidRPr="00C463B4">
              <w:rPr>
                <w:rFonts w:ascii="Garamond" w:eastAsia="Calibri" w:hAnsi="Garamond" w:cs="Times New Roman"/>
              </w:rPr>
              <w:t>%</w:t>
            </w:r>
          </w:p>
        </w:tc>
      </w:tr>
      <w:tr w:rsidR="00C463B4" w:rsidRPr="00C463B4" w14:paraId="7ADA1D7F" w14:textId="77777777" w:rsidTr="004F4EDD">
        <w:trPr>
          <w:jc w:val="center"/>
        </w:trPr>
        <w:tc>
          <w:tcPr>
            <w:tcW w:w="3235" w:type="dxa"/>
          </w:tcPr>
          <w:p w14:paraId="4642315B" w14:textId="77777777" w:rsidR="00C463B4" w:rsidRPr="00C463B4" w:rsidRDefault="00C463B4" w:rsidP="00C463B4">
            <w:pPr>
              <w:rPr>
                <w:rFonts w:ascii="Garamond" w:eastAsia="Calibri" w:hAnsi="Garamond" w:cs="Times New Roman"/>
              </w:rPr>
            </w:pPr>
            <w:r w:rsidRPr="00C463B4">
              <w:rPr>
                <w:rFonts w:ascii="Garamond" w:eastAsia="Calibri" w:hAnsi="Garamond" w:cs="Times New Roman"/>
              </w:rPr>
              <w:t>Graduation Rate</w:t>
            </w:r>
          </w:p>
        </w:tc>
        <w:tc>
          <w:tcPr>
            <w:tcW w:w="2070" w:type="dxa"/>
          </w:tcPr>
          <w:p w14:paraId="746C5BCD" w14:textId="77777777" w:rsidR="00C463B4" w:rsidRPr="00C463B4" w:rsidRDefault="00C463B4" w:rsidP="00C463B4">
            <w:pPr>
              <w:jc w:val="center"/>
              <w:rPr>
                <w:rFonts w:ascii="Garamond" w:eastAsia="Calibri" w:hAnsi="Garamond" w:cs="Times New Roman"/>
              </w:rPr>
            </w:pPr>
          </w:p>
        </w:tc>
        <w:tc>
          <w:tcPr>
            <w:tcW w:w="2070" w:type="dxa"/>
          </w:tcPr>
          <w:p w14:paraId="7C0ACF50" w14:textId="77777777" w:rsidR="00C463B4" w:rsidRPr="00C463B4" w:rsidRDefault="00C463B4" w:rsidP="00C463B4">
            <w:pPr>
              <w:jc w:val="center"/>
              <w:rPr>
                <w:rFonts w:ascii="Garamond" w:eastAsia="Calibri" w:hAnsi="Garamond" w:cs="Times New Roman"/>
              </w:rPr>
            </w:pPr>
          </w:p>
        </w:tc>
        <w:tc>
          <w:tcPr>
            <w:tcW w:w="1975" w:type="dxa"/>
          </w:tcPr>
          <w:p w14:paraId="45C03C67" w14:textId="04AAAB64" w:rsidR="00C463B4" w:rsidRPr="00C463B4" w:rsidRDefault="00FF4731" w:rsidP="00C463B4">
            <w:pPr>
              <w:jc w:val="center"/>
              <w:rPr>
                <w:rFonts w:ascii="Garamond" w:eastAsia="Calibri" w:hAnsi="Garamond" w:cs="Times New Roman"/>
              </w:rPr>
            </w:pPr>
            <w:r>
              <w:rPr>
                <w:rFonts w:ascii="Garamond" w:eastAsia="Calibri" w:hAnsi="Garamond" w:cs="Times New Roman"/>
              </w:rPr>
              <w:t>11.1</w:t>
            </w:r>
            <w:r w:rsidR="00C463B4" w:rsidRPr="00C463B4">
              <w:rPr>
                <w:rFonts w:ascii="Garamond" w:eastAsia="Calibri" w:hAnsi="Garamond" w:cs="Times New Roman"/>
              </w:rPr>
              <w:t>%</w:t>
            </w:r>
          </w:p>
        </w:tc>
      </w:tr>
      <w:tr w:rsidR="00C463B4" w:rsidRPr="00C463B4" w14:paraId="11AADAD1" w14:textId="77777777" w:rsidTr="004F4EDD">
        <w:trPr>
          <w:jc w:val="center"/>
        </w:trPr>
        <w:tc>
          <w:tcPr>
            <w:tcW w:w="3235" w:type="dxa"/>
          </w:tcPr>
          <w:p w14:paraId="1CAA886D" w14:textId="77777777" w:rsidR="00C463B4" w:rsidRPr="00C463B4" w:rsidRDefault="00C463B4" w:rsidP="00C463B4">
            <w:pPr>
              <w:rPr>
                <w:rFonts w:ascii="Garamond" w:eastAsia="Calibri" w:hAnsi="Garamond" w:cs="Times New Roman"/>
              </w:rPr>
            </w:pPr>
            <w:r w:rsidRPr="00C463B4">
              <w:rPr>
                <w:rFonts w:ascii="Garamond" w:eastAsia="Calibri" w:hAnsi="Garamond" w:cs="Times New Roman"/>
              </w:rPr>
              <w:t>Attendance Rate</w:t>
            </w:r>
          </w:p>
        </w:tc>
        <w:tc>
          <w:tcPr>
            <w:tcW w:w="2070" w:type="dxa"/>
          </w:tcPr>
          <w:p w14:paraId="554077AB" w14:textId="665BFF67" w:rsidR="00C463B4" w:rsidRPr="00C463B4" w:rsidRDefault="00FF4731" w:rsidP="00C463B4">
            <w:pPr>
              <w:jc w:val="center"/>
              <w:rPr>
                <w:rFonts w:ascii="Garamond" w:eastAsia="Calibri" w:hAnsi="Garamond" w:cs="Times New Roman"/>
              </w:rPr>
            </w:pPr>
            <w:r>
              <w:rPr>
                <w:rFonts w:ascii="Garamond" w:eastAsia="Calibri" w:hAnsi="Garamond" w:cs="Times New Roman"/>
              </w:rPr>
              <w:t>7.1</w:t>
            </w:r>
            <w:r w:rsidR="00C463B4" w:rsidRPr="00C463B4">
              <w:rPr>
                <w:rFonts w:ascii="Garamond" w:eastAsia="Calibri" w:hAnsi="Garamond" w:cs="Times New Roman"/>
              </w:rPr>
              <w:t>%</w:t>
            </w:r>
          </w:p>
        </w:tc>
        <w:tc>
          <w:tcPr>
            <w:tcW w:w="2070" w:type="dxa"/>
          </w:tcPr>
          <w:p w14:paraId="253BAC32" w14:textId="56EE2BA0" w:rsidR="00C463B4" w:rsidRPr="00C463B4" w:rsidRDefault="00FF4731" w:rsidP="00C463B4">
            <w:pPr>
              <w:jc w:val="center"/>
              <w:rPr>
                <w:rFonts w:ascii="Garamond" w:eastAsia="Calibri" w:hAnsi="Garamond" w:cs="Times New Roman"/>
              </w:rPr>
            </w:pPr>
            <w:r>
              <w:rPr>
                <w:rFonts w:ascii="Garamond" w:eastAsia="Calibri" w:hAnsi="Garamond" w:cs="Times New Roman"/>
              </w:rPr>
              <w:t>6.3</w:t>
            </w:r>
            <w:r w:rsidR="00C463B4" w:rsidRPr="00C463B4">
              <w:rPr>
                <w:rFonts w:ascii="Garamond" w:eastAsia="Calibri" w:hAnsi="Garamond" w:cs="Times New Roman"/>
              </w:rPr>
              <w:t>%</w:t>
            </w:r>
          </w:p>
        </w:tc>
        <w:tc>
          <w:tcPr>
            <w:tcW w:w="1975" w:type="dxa"/>
          </w:tcPr>
          <w:p w14:paraId="7D49C22B" w14:textId="4D823CE1" w:rsidR="00C463B4" w:rsidRPr="00C463B4" w:rsidRDefault="00FF4731" w:rsidP="00C463B4">
            <w:pPr>
              <w:jc w:val="center"/>
              <w:rPr>
                <w:rFonts w:ascii="Garamond" w:eastAsia="Calibri" w:hAnsi="Garamond" w:cs="Times New Roman"/>
              </w:rPr>
            </w:pPr>
            <w:r>
              <w:rPr>
                <w:rFonts w:ascii="Garamond" w:eastAsia="Calibri" w:hAnsi="Garamond" w:cs="Times New Roman"/>
              </w:rPr>
              <w:t>5.6</w:t>
            </w:r>
            <w:r w:rsidR="00C463B4" w:rsidRPr="00C463B4">
              <w:rPr>
                <w:rFonts w:ascii="Garamond" w:eastAsia="Calibri" w:hAnsi="Garamond" w:cs="Times New Roman"/>
              </w:rPr>
              <w:t>%</w:t>
            </w:r>
          </w:p>
        </w:tc>
      </w:tr>
      <w:tr w:rsidR="00C463B4" w:rsidRPr="00C463B4" w14:paraId="6783E795" w14:textId="77777777" w:rsidTr="004F4EDD">
        <w:trPr>
          <w:jc w:val="center"/>
        </w:trPr>
        <w:tc>
          <w:tcPr>
            <w:tcW w:w="3235" w:type="dxa"/>
          </w:tcPr>
          <w:p w14:paraId="62994CAE" w14:textId="77777777" w:rsidR="00C463B4" w:rsidRPr="00C463B4" w:rsidRDefault="00C463B4" w:rsidP="00C463B4">
            <w:pPr>
              <w:rPr>
                <w:rFonts w:ascii="Garamond" w:eastAsia="Calibri" w:hAnsi="Garamond" w:cs="Times New Roman"/>
              </w:rPr>
            </w:pPr>
            <w:r w:rsidRPr="00C463B4">
              <w:rPr>
                <w:rFonts w:ascii="Garamond" w:eastAsia="Calibri" w:hAnsi="Garamond" w:cs="Times New Roman"/>
              </w:rPr>
              <w:t>Staff Retention</w:t>
            </w:r>
          </w:p>
        </w:tc>
        <w:tc>
          <w:tcPr>
            <w:tcW w:w="2070" w:type="dxa"/>
          </w:tcPr>
          <w:p w14:paraId="2E1F975D" w14:textId="33216119" w:rsidR="00C463B4" w:rsidRPr="00C463B4" w:rsidRDefault="00FF4731" w:rsidP="00C463B4">
            <w:pPr>
              <w:jc w:val="center"/>
              <w:rPr>
                <w:rFonts w:ascii="Garamond" w:eastAsia="Calibri" w:hAnsi="Garamond" w:cs="Times New Roman"/>
              </w:rPr>
            </w:pPr>
            <w:r>
              <w:rPr>
                <w:rFonts w:ascii="Garamond" w:eastAsia="Calibri" w:hAnsi="Garamond" w:cs="Times New Roman"/>
              </w:rPr>
              <w:t>7.1</w:t>
            </w:r>
            <w:r w:rsidR="00C463B4" w:rsidRPr="00C463B4">
              <w:rPr>
                <w:rFonts w:ascii="Garamond" w:eastAsia="Calibri" w:hAnsi="Garamond" w:cs="Times New Roman"/>
              </w:rPr>
              <w:t>%</w:t>
            </w:r>
          </w:p>
        </w:tc>
        <w:tc>
          <w:tcPr>
            <w:tcW w:w="2070" w:type="dxa"/>
          </w:tcPr>
          <w:p w14:paraId="0CFE90B2" w14:textId="1D9CFD22" w:rsidR="00C463B4" w:rsidRPr="00C463B4" w:rsidRDefault="00FF4731" w:rsidP="00C463B4">
            <w:pPr>
              <w:jc w:val="center"/>
              <w:rPr>
                <w:rFonts w:ascii="Garamond" w:eastAsia="Calibri" w:hAnsi="Garamond" w:cs="Times New Roman"/>
              </w:rPr>
            </w:pPr>
            <w:r>
              <w:rPr>
                <w:rFonts w:ascii="Garamond" w:eastAsia="Calibri" w:hAnsi="Garamond" w:cs="Times New Roman"/>
              </w:rPr>
              <w:t>6.3</w:t>
            </w:r>
            <w:r w:rsidR="00C463B4" w:rsidRPr="00C463B4">
              <w:rPr>
                <w:rFonts w:ascii="Garamond" w:eastAsia="Calibri" w:hAnsi="Garamond" w:cs="Times New Roman"/>
              </w:rPr>
              <w:t>%</w:t>
            </w:r>
          </w:p>
        </w:tc>
        <w:tc>
          <w:tcPr>
            <w:tcW w:w="1975" w:type="dxa"/>
          </w:tcPr>
          <w:p w14:paraId="1D01C233" w14:textId="2D6B028C" w:rsidR="00C463B4" w:rsidRPr="00C463B4" w:rsidRDefault="00FF4731" w:rsidP="00C463B4">
            <w:pPr>
              <w:jc w:val="center"/>
              <w:rPr>
                <w:rFonts w:ascii="Garamond" w:eastAsia="Calibri" w:hAnsi="Garamond" w:cs="Times New Roman"/>
              </w:rPr>
            </w:pPr>
            <w:r>
              <w:rPr>
                <w:rFonts w:ascii="Garamond" w:eastAsia="Calibri" w:hAnsi="Garamond" w:cs="Times New Roman"/>
              </w:rPr>
              <w:t>5.6</w:t>
            </w:r>
            <w:r w:rsidR="00C463B4" w:rsidRPr="00C463B4">
              <w:rPr>
                <w:rFonts w:ascii="Garamond" w:eastAsia="Calibri" w:hAnsi="Garamond" w:cs="Times New Roman"/>
              </w:rPr>
              <w:t>%</w:t>
            </w:r>
          </w:p>
        </w:tc>
      </w:tr>
    </w:tbl>
    <w:p w14:paraId="4A581CCA" w14:textId="77777777" w:rsidR="00C463B4" w:rsidRPr="00C463B4" w:rsidRDefault="00C463B4" w:rsidP="00C463B4">
      <w:pPr>
        <w:spacing w:after="0" w:line="240" w:lineRule="auto"/>
        <w:rPr>
          <w:rFonts w:ascii="Garamond" w:eastAsia="Calibri" w:hAnsi="Garamond" w:cs="Times New Roman"/>
        </w:rPr>
      </w:pPr>
    </w:p>
    <w:p w14:paraId="31554D2C" w14:textId="77777777" w:rsidR="00C463B4" w:rsidRDefault="00C463B4" w:rsidP="00C463B4">
      <w:pPr>
        <w:spacing w:after="0" w:line="240" w:lineRule="auto"/>
        <w:rPr>
          <w:rFonts w:ascii="Garamond" w:eastAsia="Calibri" w:hAnsi="Garamond" w:cs="Times New Roman"/>
        </w:rPr>
      </w:pPr>
      <w:r w:rsidRPr="00C463B4">
        <w:rPr>
          <w:rFonts w:ascii="Garamond" w:eastAsia="Calibri" w:hAnsi="Garamond" w:cs="Times New Roman"/>
        </w:rPr>
        <w:t>These scores are added together for an overall score.  A school’s over</w:t>
      </w:r>
      <w:r>
        <w:rPr>
          <w:rFonts w:ascii="Garamond" w:eastAsia="Calibri" w:hAnsi="Garamond" w:cs="Times New Roman"/>
        </w:rPr>
        <w:t>all score determines its rating category.  The categories are (from highest to lowest): Exceptional, High-Performing, Commendable, Acceptable, Needs Improvement, and Priority.</w:t>
      </w:r>
    </w:p>
    <w:p w14:paraId="307E5805" w14:textId="77777777" w:rsidR="00C463B4" w:rsidRDefault="00C463B4" w:rsidP="00C463B4">
      <w:pPr>
        <w:spacing w:after="0" w:line="240" w:lineRule="auto"/>
        <w:rPr>
          <w:rFonts w:ascii="Garamond" w:eastAsia="Calibri" w:hAnsi="Garamond" w:cs="Times New Roman"/>
        </w:rPr>
      </w:pPr>
    </w:p>
    <w:p w14:paraId="7A0372C8" w14:textId="77777777" w:rsidR="00C463B4" w:rsidRDefault="00C463B4" w:rsidP="00C463B4">
      <w:pPr>
        <w:spacing w:after="0" w:line="240" w:lineRule="auto"/>
        <w:rPr>
          <w:rFonts w:ascii="Garamond" w:eastAsia="Calibri" w:hAnsi="Garamond" w:cs="Times New Roman"/>
        </w:rPr>
      </w:pPr>
    </w:p>
    <w:p w14:paraId="715760FC" w14:textId="77777777" w:rsidR="00C463B4" w:rsidRPr="00DB518C" w:rsidRDefault="00C463B4" w:rsidP="00C463B4">
      <w:pPr>
        <w:spacing w:after="0" w:line="240" w:lineRule="auto"/>
        <w:rPr>
          <w:rFonts w:ascii="Gill Sans MT" w:eastAsia="Calibri" w:hAnsi="Gill Sans MT" w:cs="Times New Roman"/>
          <w:b/>
        </w:rPr>
      </w:pPr>
      <w:r w:rsidRPr="00DB518C">
        <w:rPr>
          <w:rFonts w:ascii="Gill Sans MT" w:eastAsia="Calibri" w:hAnsi="Gill Sans MT" w:cs="Times New Roman"/>
          <w:b/>
        </w:rPr>
        <w:t xml:space="preserve">Iowa School Report Card Talking Points </w:t>
      </w:r>
    </w:p>
    <w:p w14:paraId="211380BC" w14:textId="483DBF45" w:rsidR="004F4EDD" w:rsidRDefault="004F4EDD" w:rsidP="00DB518C">
      <w:pPr>
        <w:pStyle w:val="ListParagraph"/>
        <w:numPr>
          <w:ilvl w:val="0"/>
          <w:numId w:val="2"/>
        </w:numPr>
        <w:spacing w:after="0" w:line="240" w:lineRule="auto"/>
        <w:rPr>
          <w:rFonts w:ascii="Garamond" w:eastAsia="Calibri" w:hAnsi="Garamond" w:cs="Times New Roman"/>
        </w:rPr>
      </w:pPr>
      <w:r>
        <w:rPr>
          <w:rFonts w:ascii="Garamond" w:eastAsia="Calibri" w:hAnsi="Garamond" w:cs="Times New Roman"/>
        </w:rPr>
        <w:t>The goal of the Iowa School Report Card is to present data in a way that makes it easier for the public to access.  This tool may add to conversations about schools, but measures and ratings are based on limited data.</w:t>
      </w:r>
    </w:p>
    <w:p w14:paraId="403086FA" w14:textId="043E755B" w:rsidR="00C463B4" w:rsidRPr="00DB518C" w:rsidRDefault="00C463B4" w:rsidP="00DB518C">
      <w:pPr>
        <w:pStyle w:val="ListParagraph"/>
        <w:numPr>
          <w:ilvl w:val="0"/>
          <w:numId w:val="2"/>
        </w:numPr>
        <w:spacing w:after="0" w:line="240" w:lineRule="auto"/>
        <w:rPr>
          <w:rFonts w:ascii="Garamond" w:eastAsia="Calibri" w:hAnsi="Garamond" w:cs="Times New Roman"/>
        </w:rPr>
      </w:pPr>
      <w:r w:rsidRPr="00DB518C">
        <w:rPr>
          <w:rFonts w:ascii="Garamond" w:eastAsia="Calibri" w:hAnsi="Garamond" w:cs="Times New Roman"/>
        </w:rPr>
        <w:t xml:space="preserve">The Iowa School Report Card ratings do not </w:t>
      </w:r>
      <w:r w:rsidR="00AF721E">
        <w:rPr>
          <w:rFonts w:ascii="Garamond" w:eastAsia="Calibri" w:hAnsi="Garamond" w:cs="Times New Roman"/>
        </w:rPr>
        <w:t xml:space="preserve">take increases in student achievement into account. A school may demonstrate significant increases in proficiency </w:t>
      </w:r>
      <w:r w:rsidR="004F4EDD">
        <w:rPr>
          <w:rFonts w:ascii="Garamond" w:eastAsia="Calibri" w:hAnsi="Garamond" w:cs="Times New Roman"/>
        </w:rPr>
        <w:t xml:space="preserve">from year to year </w:t>
      </w:r>
      <w:r w:rsidR="00AF721E">
        <w:rPr>
          <w:rFonts w:ascii="Garamond" w:eastAsia="Calibri" w:hAnsi="Garamond" w:cs="Times New Roman"/>
        </w:rPr>
        <w:t>and the gains will not be reflected in the school’s rating.</w:t>
      </w:r>
    </w:p>
    <w:p w14:paraId="20B70029" w14:textId="08150C86" w:rsidR="00DB518C" w:rsidRPr="00DB518C" w:rsidRDefault="00C463B4" w:rsidP="00DB518C">
      <w:pPr>
        <w:pStyle w:val="ListParagraph"/>
        <w:numPr>
          <w:ilvl w:val="0"/>
          <w:numId w:val="2"/>
        </w:numPr>
        <w:spacing w:after="0" w:line="240" w:lineRule="auto"/>
        <w:rPr>
          <w:rFonts w:ascii="Garamond" w:eastAsia="Calibri" w:hAnsi="Garamond" w:cs="Times New Roman"/>
        </w:rPr>
      </w:pPr>
      <w:r w:rsidRPr="00DB518C">
        <w:rPr>
          <w:rFonts w:ascii="Garamond" w:eastAsia="Calibri" w:hAnsi="Garamond" w:cs="Times New Roman"/>
        </w:rPr>
        <w:t>Iowa Assessment re</w:t>
      </w:r>
      <w:r w:rsidR="00A575CA">
        <w:rPr>
          <w:rFonts w:ascii="Garamond" w:eastAsia="Calibri" w:hAnsi="Garamond" w:cs="Times New Roman"/>
        </w:rPr>
        <w:t>sults represent the majority (78-87</w:t>
      </w:r>
      <w:r w:rsidRPr="00DB518C">
        <w:rPr>
          <w:rFonts w:ascii="Garamond" w:eastAsia="Calibri" w:hAnsi="Garamond" w:cs="Times New Roman"/>
        </w:rPr>
        <w:t xml:space="preserve">%, depending on school level) of the measures in the Iowa School Report Card.  Therefore, ratings have little to no insight on school performance beyond basic student </w:t>
      </w:r>
      <w:r w:rsidR="00DB518C" w:rsidRPr="00DB518C">
        <w:rPr>
          <w:rFonts w:ascii="Garamond" w:eastAsia="Calibri" w:hAnsi="Garamond" w:cs="Times New Roman"/>
        </w:rPr>
        <w:t>proficiency.</w:t>
      </w:r>
    </w:p>
    <w:p w14:paraId="278DE87B" w14:textId="5C8C39ED" w:rsidR="00DB518C" w:rsidRDefault="00DB518C" w:rsidP="00DB518C">
      <w:pPr>
        <w:pStyle w:val="ListParagraph"/>
        <w:numPr>
          <w:ilvl w:val="0"/>
          <w:numId w:val="2"/>
        </w:numPr>
        <w:spacing w:after="0" w:line="240" w:lineRule="auto"/>
        <w:rPr>
          <w:rFonts w:ascii="Garamond" w:eastAsia="Calibri" w:hAnsi="Garamond" w:cs="Times New Roman"/>
        </w:rPr>
      </w:pPr>
      <w:r w:rsidRPr="00DB518C">
        <w:rPr>
          <w:rFonts w:ascii="Garamond" w:eastAsia="Calibri" w:hAnsi="Garamond" w:cs="Times New Roman"/>
        </w:rPr>
        <w:t xml:space="preserve">Only </w:t>
      </w:r>
      <w:r w:rsidR="009B6CB2">
        <w:rPr>
          <w:rFonts w:ascii="Garamond" w:eastAsia="Calibri" w:hAnsi="Garamond" w:cs="Times New Roman"/>
        </w:rPr>
        <w:t>11 to 14 percent (depending on school level)</w:t>
      </w:r>
      <w:bookmarkStart w:id="0" w:name="_GoBack"/>
      <w:bookmarkEnd w:id="0"/>
      <w:r w:rsidRPr="00DB518C">
        <w:rPr>
          <w:rFonts w:ascii="Garamond" w:eastAsia="Calibri" w:hAnsi="Garamond" w:cs="Times New Roman"/>
        </w:rPr>
        <w:t xml:space="preserve"> of the Iowa School Report Card ratings ar</w:t>
      </w:r>
      <w:r>
        <w:rPr>
          <w:rFonts w:ascii="Garamond" w:eastAsia="Calibri" w:hAnsi="Garamond" w:cs="Times New Roman"/>
        </w:rPr>
        <w:t xml:space="preserve">e based on growth.  Therefore, </w:t>
      </w:r>
      <w:r w:rsidRPr="00DB518C">
        <w:rPr>
          <w:rFonts w:ascii="Garamond" w:eastAsia="Calibri" w:hAnsi="Garamond" w:cs="Times New Roman"/>
        </w:rPr>
        <w:t xml:space="preserve">ratings do not reflect the value-add that schools </w:t>
      </w:r>
      <w:r>
        <w:rPr>
          <w:rFonts w:ascii="Garamond" w:eastAsia="Calibri" w:hAnsi="Garamond" w:cs="Times New Roman"/>
        </w:rPr>
        <w:t>provide to students and are more of a reflection of the demographics of the school.</w:t>
      </w:r>
    </w:p>
    <w:p w14:paraId="0A1C8A62" w14:textId="77777777" w:rsidR="00DB518C" w:rsidRPr="00DB518C" w:rsidRDefault="00DB518C" w:rsidP="00DB518C">
      <w:pPr>
        <w:pStyle w:val="ListParagraph"/>
        <w:numPr>
          <w:ilvl w:val="0"/>
          <w:numId w:val="2"/>
        </w:numPr>
        <w:spacing w:after="0" w:line="240" w:lineRule="auto"/>
        <w:rPr>
          <w:rFonts w:ascii="Garamond" w:eastAsia="Calibri" w:hAnsi="Garamond" w:cs="Times New Roman"/>
        </w:rPr>
        <w:sectPr w:rsidR="00DB518C" w:rsidRPr="00DB518C" w:rsidSect="004F4EDD">
          <w:pgSz w:w="12240" w:h="15840"/>
          <w:pgMar w:top="1440" w:right="1440" w:bottom="1440" w:left="1440" w:header="720" w:footer="720" w:gutter="0"/>
          <w:cols w:space="720"/>
          <w:docGrid w:linePitch="360"/>
        </w:sectPr>
      </w:pPr>
      <w:r>
        <w:rPr>
          <w:rFonts w:ascii="Garamond" w:eastAsia="Calibri" w:hAnsi="Garamond" w:cs="Times New Roman"/>
        </w:rPr>
        <w:t>DMPS will not use the Iowa School Report Card to inform decision-making in the district.</w:t>
      </w:r>
    </w:p>
    <w:p w14:paraId="03F580F6" w14:textId="77777777" w:rsidR="00C463B4" w:rsidRDefault="00C463B4" w:rsidP="00C463B4">
      <w:pPr>
        <w:rPr>
          <w:rFonts w:ascii="Garamond" w:eastAsia="Calibri" w:hAnsi="Garamond" w:cs="Times New Roman"/>
        </w:rPr>
      </w:pPr>
    </w:p>
    <w:p w14:paraId="7C61090C" w14:textId="44A511F7" w:rsidR="00AF721E" w:rsidRPr="00AF721E" w:rsidRDefault="00BF16F0" w:rsidP="00AF721E">
      <w:pPr>
        <w:keepNext/>
        <w:keepLines/>
        <w:spacing w:after="0" w:line="240" w:lineRule="auto"/>
        <w:jc w:val="center"/>
        <w:outlineLvl w:val="1"/>
        <w:rPr>
          <w:rFonts w:ascii="Gill Sans MT" w:eastAsia="Times New Roman" w:hAnsi="Gill Sans MT" w:cs="Times New Roman"/>
          <w:b/>
          <w:bCs/>
          <w:sz w:val="24"/>
          <w:szCs w:val="26"/>
        </w:rPr>
      </w:pPr>
      <w:r>
        <w:rPr>
          <w:rFonts w:ascii="Gill Sans MT" w:eastAsia="Times New Roman" w:hAnsi="Gill Sans MT" w:cs="Times New Roman"/>
          <w:b/>
          <w:bCs/>
          <w:sz w:val="24"/>
          <w:szCs w:val="26"/>
        </w:rPr>
        <w:t>College and Career Ready Growth</w:t>
      </w:r>
      <w:r w:rsidR="00AF721E" w:rsidRPr="00AF721E">
        <w:rPr>
          <w:rFonts w:ascii="Gill Sans MT" w:eastAsia="Times New Roman" w:hAnsi="Gill Sans MT" w:cs="Times New Roman"/>
          <w:b/>
          <w:bCs/>
          <w:sz w:val="24"/>
          <w:szCs w:val="26"/>
        </w:rPr>
        <w:t>: A Tale of Two DMPS Students</w:t>
      </w:r>
    </w:p>
    <w:p w14:paraId="31A50D97" w14:textId="77777777" w:rsidR="00AF721E" w:rsidRPr="00AF721E" w:rsidRDefault="00AF721E" w:rsidP="00AF721E">
      <w:pPr>
        <w:spacing w:after="0" w:line="240" w:lineRule="auto"/>
        <w:rPr>
          <w:rFonts w:ascii="Garamond" w:eastAsia="Calibri" w:hAnsi="Garamond" w:cs="Times New Roman"/>
        </w:rPr>
      </w:pPr>
    </w:p>
    <w:p w14:paraId="240739FE" w14:textId="46B64AC5" w:rsidR="00AF721E" w:rsidRPr="00AF721E" w:rsidRDefault="004F4EDD" w:rsidP="00AF721E">
      <w:pPr>
        <w:spacing w:after="0" w:line="240" w:lineRule="auto"/>
        <w:rPr>
          <w:rFonts w:ascii="Garamond" w:eastAsia="Calibri" w:hAnsi="Garamond" w:cs="Times New Roman"/>
        </w:rPr>
      </w:pPr>
      <w:r w:rsidRPr="004F4EDD">
        <w:rPr>
          <w:rFonts w:ascii="Garamond" w:eastAsia="Calibri" w:hAnsi="Garamond" w:cs="Times New Roman"/>
        </w:rPr>
        <w:t xml:space="preserve">The </w:t>
      </w:r>
      <w:r>
        <w:rPr>
          <w:rFonts w:ascii="Garamond" w:eastAsia="Calibri" w:hAnsi="Garamond" w:cs="Times New Roman"/>
        </w:rPr>
        <w:t>College and Career Ready G</w:t>
      </w:r>
      <w:r w:rsidRPr="004F4EDD">
        <w:rPr>
          <w:rFonts w:ascii="Garamond" w:eastAsia="Calibri" w:hAnsi="Garamond" w:cs="Times New Roman"/>
        </w:rPr>
        <w:t xml:space="preserve">rowth model included in the </w:t>
      </w:r>
      <w:r>
        <w:rPr>
          <w:rFonts w:ascii="Garamond" w:eastAsia="Calibri" w:hAnsi="Garamond" w:cs="Times New Roman"/>
        </w:rPr>
        <w:t>Iowa School Report Card</w:t>
      </w:r>
      <w:r w:rsidRPr="004F4EDD">
        <w:rPr>
          <w:rFonts w:ascii="Garamond" w:eastAsia="Calibri" w:hAnsi="Garamond" w:cs="Times New Roman"/>
        </w:rPr>
        <w:t xml:space="preserve"> measures growth on a trajectory towards college readiness.  According to this model, all students must be on trajectory towards the minimum college readiness cut point (using Iowa Assessment standard scores) to make growth.  If students score above the college readiness cut point, they must gain the standard scores of the average student to make growth.  As operationalized, this growth model creates inequitable expectations for student growth.</w:t>
      </w:r>
      <w:r>
        <w:rPr>
          <w:rFonts w:ascii="Garamond" w:eastAsia="Calibri" w:hAnsi="Garamond" w:cs="Times New Roman"/>
        </w:rPr>
        <w:t xml:space="preserve">  </w:t>
      </w:r>
      <w:r w:rsidR="00AF721E" w:rsidRPr="00AF721E">
        <w:rPr>
          <w:rFonts w:ascii="Garamond" w:eastAsia="Calibri" w:hAnsi="Garamond" w:cs="Times New Roman"/>
        </w:rPr>
        <w:t>An example of two actual Des Moines Public Schools (DMPS) 11</w:t>
      </w:r>
      <w:r w:rsidR="00AF721E" w:rsidRPr="00AF721E">
        <w:rPr>
          <w:rFonts w:ascii="Garamond" w:eastAsia="Calibri" w:hAnsi="Garamond" w:cs="Times New Roman"/>
          <w:vertAlign w:val="superscript"/>
        </w:rPr>
        <w:t>th</w:t>
      </w:r>
      <w:r w:rsidR="00AF721E" w:rsidRPr="00AF721E">
        <w:rPr>
          <w:rFonts w:ascii="Garamond" w:eastAsia="Calibri" w:hAnsi="Garamond" w:cs="Times New Roman"/>
        </w:rPr>
        <w:t xml:space="preserve"> grade students is below.  Names have been removed to protect the identity of students.</w:t>
      </w:r>
    </w:p>
    <w:p w14:paraId="44487A79" w14:textId="77777777" w:rsidR="00AF721E" w:rsidRPr="00AF721E" w:rsidRDefault="00AF721E" w:rsidP="00AF721E">
      <w:pPr>
        <w:spacing w:after="0" w:line="240" w:lineRule="auto"/>
        <w:rPr>
          <w:rFonts w:ascii="Garamond" w:eastAsia="Calibri" w:hAnsi="Garamond" w:cs="Times New Roman"/>
        </w:rPr>
      </w:pPr>
    </w:p>
    <w:p w14:paraId="2B8F4C73" w14:textId="77777777" w:rsidR="00AF721E" w:rsidRPr="00AF721E" w:rsidRDefault="00AF721E" w:rsidP="00AF721E">
      <w:pPr>
        <w:spacing w:after="0" w:line="240" w:lineRule="auto"/>
        <w:rPr>
          <w:rFonts w:ascii="Garamond" w:eastAsia="Calibri" w:hAnsi="Garamond" w:cs="Times New Roman"/>
          <w:noProof/>
        </w:rPr>
      </w:pPr>
      <w:r w:rsidRPr="00AF721E">
        <w:rPr>
          <w:rFonts w:ascii="Garamond" w:eastAsia="Calibri" w:hAnsi="Garamond" w:cs="Times New Roman"/>
          <w:b/>
        </w:rPr>
        <w:t>Student A</w:t>
      </w:r>
      <w:r w:rsidRPr="00AF721E">
        <w:rPr>
          <w:rFonts w:ascii="Garamond" w:eastAsia="Calibri" w:hAnsi="Garamond" w:cs="Times New Roman"/>
        </w:rPr>
        <w:t xml:space="preserve"> arrived in the Des Moines as a refugee from Burma in the summer of 2011.  She enrolled at North High School in August as a 9</w:t>
      </w:r>
      <w:r w:rsidRPr="00AF721E">
        <w:rPr>
          <w:rFonts w:ascii="Garamond" w:eastAsia="Calibri" w:hAnsi="Garamond" w:cs="Times New Roman"/>
          <w:vertAlign w:val="superscript"/>
        </w:rPr>
        <w:t>th</w:t>
      </w:r>
      <w:r w:rsidRPr="00AF721E">
        <w:rPr>
          <w:rFonts w:ascii="Garamond" w:eastAsia="Calibri" w:hAnsi="Garamond" w:cs="Times New Roman"/>
        </w:rPr>
        <w:t xml:space="preserve"> grader in the intensive English language program.  When she took the Iowa Assessment reading test in the spring of 2013 as a 10</w:t>
      </w:r>
      <w:r w:rsidRPr="00AF721E">
        <w:rPr>
          <w:rFonts w:ascii="Garamond" w:eastAsia="Calibri" w:hAnsi="Garamond" w:cs="Times New Roman"/>
          <w:vertAlign w:val="superscript"/>
        </w:rPr>
        <w:t>th</w:t>
      </w:r>
      <w:r w:rsidRPr="00AF721E">
        <w:rPr>
          <w:rFonts w:ascii="Garamond" w:eastAsia="Calibri" w:hAnsi="Garamond" w:cs="Times New Roman"/>
        </w:rPr>
        <w:t xml:space="preserve"> grader, she earned a standard score of 146, which is equivalent to reading at a first grade level during the sixth month of the school year. In order to be on trajectory towards a standard score of 306 by her 12</w:t>
      </w:r>
      <w:r w:rsidRPr="00AF721E">
        <w:rPr>
          <w:rFonts w:ascii="Garamond" w:eastAsia="Calibri" w:hAnsi="Garamond" w:cs="Times New Roman"/>
          <w:vertAlign w:val="superscript"/>
        </w:rPr>
        <w:t>th</w:t>
      </w:r>
      <w:r w:rsidRPr="00AF721E">
        <w:rPr>
          <w:rFonts w:ascii="Garamond" w:eastAsia="Calibri" w:hAnsi="Garamond" w:cs="Times New Roman"/>
        </w:rPr>
        <w:t xml:space="preserve"> grade year, student A must grow by 80 standards scores in her 11</w:t>
      </w:r>
      <w:r w:rsidRPr="00AF721E">
        <w:rPr>
          <w:rFonts w:ascii="Garamond" w:eastAsia="Calibri" w:hAnsi="Garamond" w:cs="Times New Roman"/>
          <w:vertAlign w:val="superscript"/>
        </w:rPr>
        <w:t>th</w:t>
      </w:r>
      <w:r w:rsidRPr="00AF721E">
        <w:rPr>
          <w:rFonts w:ascii="Garamond" w:eastAsia="Calibri" w:hAnsi="Garamond" w:cs="Times New Roman"/>
        </w:rPr>
        <w:t xml:space="preserve"> grade year, earning a standard score of 226 (equivalent to reading at a 7</w:t>
      </w:r>
      <w:r w:rsidRPr="00AF721E">
        <w:rPr>
          <w:rFonts w:ascii="Garamond" w:eastAsia="Calibri" w:hAnsi="Garamond" w:cs="Times New Roman"/>
          <w:vertAlign w:val="superscript"/>
        </w:rPr>
        <w:t>th</w:t>
      </w:r>
      <w:r w:rsidRPr="00AF721E">
        <w:rPr>
          <w:rFonts w:ascii="Garamond" w:eastAsia="Calibri" w:hAnsi="Garamond" w:cs="Times New Roman"/>
        </w:rPr>
        <w:t xml:space="preserve"> grade level), almost 11.5 times the gain of the average 11</w:t>
      </w:r>
      <w:r w:rsidRPr="00AF721E">
        <w:rPr>
          <w:rFonts w:ascii="Garamond" w:eastAsia="Calibri" w:hAnsi="Garamond" w:cs="Times New Roman"/>
          <w:vertAlign w:val="superscript"/>
        </w:rPr>
        <w:t>th</w:t>
      </w:r>
      <w:r w:rsidRPr="00AF721E">
        <w:rPr>
          <w:rFonts w:ascii="Garamond" w:eastAsia="Calibri" w:hAnsi="Garamond" w:cs="Times New Roman"/>
        </w:rPr>
        <w:t xml:space="preserve"> grader.</w:t>
      </w:r>
      <w:r w:rsidRPr="00AF721E">
        <w:rPr>
          <w:rFonts w:ascii="Garamond" w:eastAsia="Calibri" w:hAnsi="Garamond" w:cs="Times New Roman"/>
          <w:noProof/>
        </w:rPr>
        <w:t xml:space="preserve">   </w:t>
      </w:r>
    </w:p>
    <w:p w14:paraId="33749F1C" w14:textId="77777777" w:rsidR="00AF721E" w:rsidRPr="00AF721E" w:rsidRDefault="00AF721E" w:rsidP="00AF721E">
      <w:pPr>
        <w:spacing w:after="0" w:line="240" w:lineRule="auto"/>
        <w:rPr>
          <w:rFonts w:ascii="Garamond" w:eastAsia="Calibri" w:hAnsi="Garamond" w:cs="Times New Roman"/>
          <w:noProof/>
          <w:sz w:val="12"/>
        </w:rPr>
      </w:pPr>
    </w:p>
    <w:p w14:paraId="1C08CC04" w14:textId="357425C2" w:rsidR="00AF721E" w:rsidRPr="00AF721E" w:rsidRDefault="00AF721E" w:rsidP="00AF721E">
      <w:pPr>
        <w:spacing w:after="0" w:line="240" w:lineRule="auto"/>
        <w:rPr>
          <w:rFonts w:ascii="Garamond" w:eastAsia="Calibri" w:hAnsi="Garamond" w:cs="Times New Roman"/>
        </w:rPr>
      </w:pPr>
      <w:r w:rsidRPr="00AF721E">
        <w:rPr>
          <w:rFonts w:ascii="Garamond" w:eastAsia="Calibri" w:hAnsi="Garamond" w:cs="Times New Roman"/>
          <w:noProof/>
        </w:rPr>
        <w:drawing>
          <wp:anchor distT="0" distB="0" distL="114300" distR="114300" simplePos="0" relativeHeight="251659264" behindDoc="0" locked="0" layoutInCell="1" allowOverlap="1" wp14:anchorId="6E530495" wp14:editId="01E3C20B">
            <wp:simplePos x="0" y="0"/>
            <wp:positionH relativeFrom="column">
              <wp:posOffset>3308350</wp:posOffset>
            </wp:positionH>
            <wp:positionV relativeFrom="paragraph">
              <wp:posOffset>6985</wp:posOffset>
            </wp:positionV>
            <wp:extent cx="3476625" cy="2952750"/>
            <wp:effectExtent l="0" t="0" r="952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AF721E">
        <w:rPr>
          <w:rFonts w:ascii="Garamond" w:eastAsia="Calibri" w:hAnsi="Garamond" w:cs="Times New Roman"/>
          <w:noProof/>
        </w:rPr>
        <w:t>In reality, student A grew by 69 standard scores in her 11</w:t>
      </w:r>
      <w:r w:rsidRPr="00AF721E">
        <w:rPr>
          <w:rFonts w:ascii="Garamond" w:eastAsia="Calibri" w:hAnsi="Garamond" w:cs="Times New Roman"/>
          <w:noProof/>
          <w:vertAlign w:val="superscript"/>
        </w:rPr>
        <w:t>th</w:t>
      </w:r>
      <w:r w:rsidRPr="00AF721E">
        <w:rPr>
          <w:rFonts w:ascii="Garamond" w:eastAsia="Calibri" w:hAnsi="Garamond" w:cs="Times New Roman"/>
          <w:noProof/>
        </w:rPr>
        <w:t xml:space="preserve"> grade year, advancing from reading at a first grade level the previous year to reading at a sixth grade level.  Even though student A grew five grade levels in her reading comprehension, she did not make growth according to the </w:t>
      </w:r>
      <w:r w:rsidR="004F4EDD">
        <w:rPr>
          <w:rFonts w:ascii="Garamond" w:eastAsia="Calibri" w:hAnsi="Garamond" w:cs="Times New Roman"/>
        </w:rPr>
        <w:t>College and Career Ready G</w:t>
      </w:r>
      <w:r w:rsidR="004F4EDD" w:rsidRPr="004F4EDD">
        <w:rPr>
          <w:rFonts w:ascii="Garamond" w:eastAsia="Calibri" w:hAnsi="Garamond" w:cs="Times New Roman"/>
        </w:rPr>
        <w:t>rowth model</w:t>
      </w:r>
      <w:r w:rsidRPr="00AF721E">
        <w:rPr>
          <w:rFonts w:ascii="Garamond" w:eastAsia="Calibri" w:hAnsi="Garamond" w:cs="Times New Roman"/>
          <w:noProof/>
        </w:rPr>
        <w:t xml:space="preserve">. </w:t>
      </w:r>
    </w:p>
    <w:p w14:paraId="18877CF0" w14:textId="77777777" w:rsidR="00AF721E" w:rsidRPr="00AF721E" w:rsidRDefault="00AF721E" w:rsidP="00AF721E">
      <w:pPr>
        <w:spacing w:after="0" w:line="240" w:lineRule="auto"/>
        <w:rPr>
          <w:rFonts w:ascii="Garamond" w:eastAsia="Calibri" w:hAnsi="Garamond" w:cs="Times New Roman"/>
        </w:rPr>
      </w:pPr>
    </w:p>
    <w:p w14:paraId="20D0C19B" w14:textId="77777777" w:rsidR="00AF721E" w:rsidRPr="00AF721E" w:rsidRDefault="00AF721E" w:rsidP="00AF721E">
      <w:pPr>
        <w:spacing w:after="0" w:line="240" w:lineRule="auto"/>
        <w:rPr>
          <w:rFonts w:ascii="Garamond" w:eastAsia="Calibri" w:hAnsi="Garamond" w:cs="Times New Roman"/>
        </w:rPr>
      </w:pPr>
      <w:r w:rsidRPr="00AF721E">
        <w:rPr>
          <w:rFonts w:ascii="Garamond" w:eastAsia="Calibri" w:hAnsi="Garamond" w:cs="Times New Roman"/>
          <w:b/>
        </w:rPr>
        <w:t>Student B</w:t>
      </w:r>
      <w:r w:rsidRPr="00AF721E">
        <w:rPr>
          <w:rFonts w:ascii="Garamond" w:eastAsia="Calibri" w:hAnsi="Garamond" w:cs="Times New Roman"/>
        </w:rPr>
        <w:t xml:space="preserve"> started his education at Des Moines Public Schools, attending kindergarten at Morris Elementary School.  By the time student B took the Iowa Assessment reading test in 10</w:t>
      </w:r>
      <w:r w:rsidRPr="00AF721E">
        <w:rPr>
          <w:rFonts w:ascii="Garamond" w:eastAsia="Calibri" w:hAnsi="Garamond" w:cs="Times New Roman"/>
          <w:vertAlign w:val="superscript"/>
        </w:rPr>
        <w:t>th</w:t>
      </w:r>
      <w:r w:rsidRPr="00AF721E">
        <w:rPr>
          <w:rFonts w:ascii="Garamond" w:eastAsia="Calibri" w:hAnsi="Garamond" w:cs="Times New Roman"/>
        </w:rPr>
        <w:t xml:space="preserve"> grade at Lincoln High School, he earned a standard score of 302, equivalent to reading at a post-secondary level.  Since student B is already reading very close to the college readiness minimum cut point, student B must grow by 7 standard scores (the growth of the average 11</w:t>
      </w:r>
      <w:r w:rsidRPr="00AF721E">
        <w:rPr>
          <w:rFonts w:ascii="Garamond" w:eastAsia="Calibri" w:hAnsi="Garamond" w:cs="Times New Roman"/>
          <w:vertAlign w:val="superscript"/>
        </w:rPr>
        <w:t>th</w:t>
      </w:r>
      <w:r w:rsidRPr="00AF721E">
        <w:rPr>
          <w:rFonts w:ascii="Garamond" w:eastAsia="Calibri" w:hAnsi="Garamond" w:cs="Times New Roman"/>
        </w:rPr>
        <w:t xml:space="preserve"> grade student) to make growth in his 11</w:t>
      </w:r>
      <w:r w:rsidRPr="00AF721E">
        <w:rPr>
          <w:rFonts w:ascii="Garamond" w:eastAsia="Calibri" w:hAnsi="Garamond" w:cs="Times New Roman"/>
          <w:vertAlign w:val="superscript"/>
        </w:rPr>
        <w:t>th</w:t>
      </w:r>
      <w:r w:rsidRPr="00AF721E">
        <w:rPr>
          <w:rFonts w:ascii="Garamond" w:eastAsia="Calibri" w:hAnsi="Garamond" w:cs="Times New Roman"/>
        </w:rPr>
        <w:t xml:space="preserve"> grade year.  </w:t>
      </w:r>
    </w:p>
    <w:p w14:paraId="03A0168D" w14:textId="77777777" w:rsidR="00AF721E" w:rsidRPr="00AF721E" w:rsidRDefault="00AF721E" w:rsidP="00AF721E">
      <w:pPr>
        <w:spacing w:after="0" w:line="240" w:lineRule="auto"/>
        <w:rPr>
          <w:rFonts w:ascii="Garamond" w:eastAsia="Calibri" w:hAnsi="Garamond" w:cs="Times New Roman"/>
          <w:sz w:val="12"/>
        </w:rPr>
      </w:pPr>
    </w:p>
    <w:p w14:paraId="2F8DDE63" w14:textId="11F2851E" w:rsidR="00AF721E" w:rsidRPr="00AF721E" w:rsidRDefault="004F4EDD" w:rsidP="00AF721E">
      <w:pPr>
        <w:spacing w:after="0" w:line="240" w:lineRule="auto"/>
        <w:rPr>
          <w:rFonts w:ascii="Garamond" w:eastAsia="Calibri" w:hAnsi="Garamond" w:cs="Times New Roman"/>
        </w:rPr>
      </w:pPr>
      <w:r w:rsidRPr="00AF721E">
        <w:rPr>
          <w:rFonts w:ascii="Garamond" w:eastAsia="Calibri" w:hAnsi="Garamond" w:cs="Times New Roman"/>
          <w:b/>
          <w:noProof/>
        </w:rPr>
        <mc:AlternateContent>
          <mc:Choice Requires="wps">
            <w:drawing>
              <wp:anchor distT="0" distB="0" distL="114300" distR="114300" simplePos="0" relativeHeight="251663360" behindDoc="0" locked="0" layoutInCell="1" allowOverlap="1" wp14:anchorId="1C25D0E2" wp14:editId="7F62CAE5">
                <wp:simplePos x="0" y="0"/>
                <wp:positionH relativeFrom="column">
                  <wp:posOffset>3880485</wp:posOffset>
                </wp:positionH>
                <wp:positionV relativeFrom="paragraph">
                  <wp:posOffset>802005</wp:posOffset>
                </wp:positionV>
                <wp:extent cx="1409700" cy="314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w="9525">
                          <a:noFill/>
                          <a:miter lim="800000"/>
                          <a:headEnd/>
                          <a:tailEnd/>
                        </a:ln>
                      </wps:spPr>
                      <wps:txbx>
                        <w:txbxContent>
                          <w:p w14:paraId="555343F8" w14:textId="77777777" w:rsidR="00AF721E" w:rsidRDefault="00AF721E" w:rsidP="00AF721E">
                            <w:r>
                              <w:t>Did not make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5D0E2" id="_x0000_t202" coordsize="21600,21600" o:spt="202" path="m,l,21600r21600,l21600,xe">
                <v:stroke joinstyle="miter"/>
                <v:path gradientshapeok="t" o:connecttype="rect"/>
              </v:shapetype>
              <v:shape id="Text Box 2" o:spid="_x0000_s1026" type="#_x0000_t202" style="position:absolute;margin-left:305.55pt;margin-top:63.15pt;width:111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ocCAIAAPI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" filled="f" stroked="f">
                <v:textbox>
                  <w:txbxContent>
                    <w:p w14:paraId="555343F8" w14:textId="77777777" w:rsidR="00AF721E" w:rsidRDefault="00AF721E" w:rsidP="00AF721E">
                      <w:r>
                        <w:t>Did not make growth</w:t>
                      </w:r>
                    </w:p>
                  </w:txbxContent>
                </v:textbox>
              </v:shape>
            </w:pict>
          </mc:Fallback>
        </mc:AlternateContent>
      </w:r>
      <w:r w:rsidR="00AF721E" w:rsidRPr="00AF721E">
        <w:rPr>
          <w:rFonts w:ascii="Garamond" w:eastAsia="Calibri" w:hAnsi="Garamond" w:cs="Times New Roman"/>
          <w:b/>
          <w:noProof/>
        </w:rPr>
        <w:drawing>
          <wp:anchor distT="0" distB="0" distL="114300" distR="114300" simplePos="0" relativeHeight="251660288" behindDoc="0" locked="0" layoutInCell="1" allowOverlap="1" wp14:anchorId="199D3363" wp14:editId="4AE938D8">
            <wp:simplePos x="0" y="0"/>
            <wp:positionH relativeFrom="column">
              <wp:posOffset>2174240</wp:posOffset>
            </wp:positionH>
            <wp:positionV relativeFrom="paragraph">
              <wp:posOffset>433070</wp:posOffset>
            </wp:positionV>
            <wp:extent cx="4535170" cy="2677160"/>
            <wp:effectExtent l="0" t="0" r="17780" b="2794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AF721E" w:rsidRPr="00AF721E">
        <w:rPr>
          <w:rFonts w:ascii="Garamond" w:eastAsia="Calibri" w:hAnsi="Garamond" w:cs="Times New Roman"/>
        </w:rPr>
        <w:t>When student B takes the test as an 11</w:t>
      </w:r>
      <w:r w:rsidR="00AF721E" w:rsidRPr="00AF721E">
        <w:rPr>
          <w:rFonts w:ascii="Garamond" w:eastAsia="Calibri" w:hAnsi="Garamond" w:cs="Times New Roman"/>
          <w:vertAlign w:val="superscript"/>
        </w:rPr>
        <w:t>th</w:t>
      </w:r>
      <w:r w:rsidR="00AF721E" w:rsidRPr="00AF721E">
        <w:rPr>
          <w:rFonts w:ascii="Garamond" w:eastAsia="Calibri" w:hAnsi="Garamond" w:cs="Times New Roman"/>
        </w:rPr>
        <w:t xml:space="preserve"> grader, he scores 309, growing by exactly 7 standard scores.  Student B makes growth according to the </w:t>
      </w:r>
      <w:r>
        <w:rPr>
          <w:rFonts w:ascii="Garamond" w:eastAsia="Calibri" w:hAnsi="Garamond" w:cs="Times New Roman"/>
        </w:rPr>
        <w:t>College and Career Ready G</w:t>
      </w:r>
      <w:r w:rsidRPr="004F4EDD">
        <w:rPr>
          <w:rFonts w:ascii="Garamond" w:eastAsia="Calibri" w:hAnsi="Garamond" w:cs="Times New Roman"/>
        </w:rPr>
        <w:t>rowth model</w:t>
      </w:r>
      <w:r w:rsidR="00AF721E" w:rsidRPr="00AF721E">
        <w:rPr>
          <w:rFonts w:ascii="Garamond" w:eastAsia="Calibri" w:hAnsi="Garamond" w:cs="Times New Roman"/>
        </w:rPr>
        <w:t>, while demonstrating only 10 percent of the growth that student A, who did not make growth according to the model.</w:t>
      </w:r>
    </w:p>
    <w:p w14:paraId="70995A86" w14:textId="244AD668" w:rsidR="00AF721E" w:rsidRPr="00AF721E" w:rsidRDefault="00AF721E" w:rsidP="00AF721E">
      <w:pPr>
        <w:spacing w:after="0" w:line="240" w:lineRule="auto"/>
        <w:rPr>
          <w:rFonts w:ascii="Garamond" w:eastAsia="Calibri" w:hAnsi="Garamond" w:cs="Times New Roman"/>
        </w:rPr>
      </w:pPr>
    </w:p>
    <w:p w14:paraId="4632A95C" w14:textId="246F864C" w:rsidR="00AF721E" w:rsidRPr="00AF721E" w:rsidRDefault="00AF721E" w:rsidP="00AF721E">
      <w:pPr>
        <w:spacing w:after="0" w:line="240" w:lineRule="auto"/>
        <w:rPr>
          <w:rFonts w:ascii="Garamond" w:eastAsia="Calibri" w:hAnsi="Garamond" w:cs="Times New Roman"/>
        </w:rPr>
      </w:pPr>
    </w:p>
    <w:p w14:paraId="209810CE" w14:textId="0717856E" w:rsidR="00AF721E" w:rsidRPr="00AF721E" w:rsidRDefault="004F4EDD" w:rsidP="00AF721E">
      <w:pPr>
        <w:spacing w:after="0" w:line="240" w:lineRule="auto"/>
        <w:rPr>
          <w:rFonts w:ascii="Garamond" w:eastAsia="Calibri" w:hAnsi="Garamond" w:cs="Times New Roman"/>
        </w:rPr>
      </w:pPr>
      <w:r w:rsidRPr="00AF721E">
        <w:rPr>
          <w:rFonts w:ascii="Garamond" w:eastAsia="Calibri" w:hAnsi="Garamond" w:cs="Times New Roman"/>
          <w:noProof/>
        </w:rPr>
        <mc:AlternateContent>
          <mc:Choice Requires="wps">
            <w:drawing>
              <wp:anchor distT="0" distB="0" distL="114300" distR="114300" simplePos="0" relativeHeight="251662336" behindDoc="0" locked="0" layoutInCell="1" allowOverlap="1" wp14:anchorId="45D59FBE" wp14:editId="757C41C9">
                <wp:simplePos x="0" y="0"/>
                <wp:positionH relativeFrom="column">
                  <wp:posOffset>5876925</wp:posOffset>
                </wp:positionH>
                <wp:positionV relativeFrom="paragraph">
                  <wp:posOffset>156210</wp:posOffset>
                </wp:positionV>
                <wp:extent cx="1002030" cy="314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14325"/>
                        </a:xfrm>
                        <a:prstGeom prst="rect">
                          <a:avLst/>
                        </a:prstGeom>
                        <a:noFill/>
                        <a:ln w="9525">
                          <a:noFill/>
                          <a:miter lim="800000"/>
                          <a:headEnd/>
                          <a:tailEnd/>
                        </a:ln>
                      </wps:spPr>
                      <wps:txbx>
                        <w:txbxContent>
                          <w:p w14:paraId="5B488425" w14:textId="77777777" w:rsidR="00AF721E" w:rsidRDefault="00AF721E" w:rsidP="00AF721E">
                            <w:r>
                              <w:t>Made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59FBE" id="_x0000_s1027" type="#_x0000_t202" style="position:absolute;margin-left:462.75pt;margin-top:12.3pt;width:78.9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" filled="f" stroked="f">
                <v:textbox>
                  <w:txbxContent>
                    <w:p w14:paraId="5B488425" w14:textId="77777777" w:rsidR="00AF721E" w:rsidRDefault="00AF721E" w:rsidP="00AF721E">
                      <w:r>
                        <w:t>Made growth</w:t>
                      </w:r>
                    </w:p>
                  </w:txbxContent>
                </v:textbox>
              </v:shape>
            </w:pict>
          </mc:Fallback>
        </mc:AlternateContent>
      </w:r>
    </w:p>
    <w:p w14:paraId="04C97546" w14:textId="7BFF2ABD" w:rsidR="00AF721E" w:rsidRPr="00AF721E" w:rsidRDefault="004F4EDD" w:rsidP="00AF721E">
      <w:pPr>
        <w:spacing w:after="0" w:line="240" w:lineRule="auto"/>
        <w:rPr>
          <w:rFonts w:ascii="Garamond" w:eastAsia="Calibri" w:hAnsi="Garamond" w:cs="Times New Roman"/>
        </w:rPr>
      </w:pPr>
      <w:r w:rsidRPr="00AF721E">
        <w:rPr>
          <w:rFonts w:ascii="Garamond" w:eastAsia="Calibri" w:hAnsi="Garamond" w:cs="Times New Roman"/>
          <w:noProof/>
        </w:rPr>
        <mc:AlternateContent>
          <mc:Choice Requires="wps">
            <w:drawing>
              <wp:anchor distT="0" distB="0" distL="114300" distR="114300" simplePos="0" relativeHeight="251661312" behindDoc="0" locked="0" layoutInCell="1" allowOverlap="1" wp14:anchorId="45B36564" wp14:editId="083DCDA5">
                <wp:simplePos x="0" y="0"/>
                <wp:positionH relativeFrom="column">
                  <wp:posOffset>5527040</wp:posOffset>
                </wp:positionH>
                <wp:positionV relativeFrom="paragraph">
                  <wp:posOffset>114300</wp:posOffset>
                </wp:positionV>
                <wp:extent cx="418465" cy="351790"/>
                <wp:effectExtent l="38100" t="19050" r="19685" b="48260"/>
                <wp:wrapNone/>
                <wp:docPr id="2" name="Straight Arrow Connector 1"/>
                <wp:cNvGraphicFramePr/>
                <a:graphic xmlns:a="http://schemas.openxmlformats.org/drawingml/2006/main">
                  <a:graphicData uri="http://schemas.microsoft.com/office/word/2010/wordprocessingShape">
                    <wps:wsp>
                      <wps:cNvCnPr/>
                      <wps:spPr>
                        <a:xfrm flipH="1">
                          <a:off x="0" y="0"/>
                          <a:ext cx="418465" cy="35179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type w14:anchorId="3200D595" id="_x0000_t32" coordsize="21600,21600" o:spt="32" o:oned="t" path="m,l21600,21600e" filled="f">
                <v:path arrowok="t" fillok="f" o:connecttype="none"/>
                <o:lock v:ext="edit" shapetype="t"/>
              </v:shapetype>
              <v:shape id="Straight Arrow Connector 1" o:spid="_x0000_s1026" type="#_x0000_t32" style="position:absolute;margin-left:435.2pt;margin-top:9pt;width:32.95pt;height:27.7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" strokecolor="windowText" strokeweight="2.25pt">
                <v:stroke endarrow="open"/>
              </v:shape>
            </w:pict>
          </mc:Fallback>
        </mc:AlternateContent>
      </w:r>
    </w:p>
    <w:p w14:paraId="3FA4A804" w14:textId="729398F4" w:rsidR="00AF721E" w:rsidRPr="00AF721E" w:rsidRDefault="00AF721E" w:rsidP="00AF721E">
      <w:pPr>
        <w:spacing w:after="0" w:line="240" w:lineRule="auto"/>
        <w:rPr>
          <w:rFonts w:ascii="Garamond" w:eastAsia="Calibri" w:hAnsi="Garamond" w:cs="Times New Roman"/>
        </w:rPr>
      </w:pPr>
    </w:p>
    <w:p w14:paraId="2ACE7407" w14:textId="3BD5DCAD" w:rsidR="00AF721E" w:rsidRPr="00AF721E" w:rsidRDefault="00AF721E" w:rsidP="00AF721E">
      <w:pPr>
        <w:spacing w:after="0" w:line="240" w:lineRule="auto"/>
        <w:rPr>
          <w:rFonts w:ascii="Garamond" w:eastAsia="Calibri" w:hAnsi="Garamond" w:cs="Times New Roman"/>
        </w:rPr>
      </w:pPr>
    </w:p>
    <w:p w14:paraId="4D45EA76" w14:textId="77777777" w:rsidR="00AF721E" w:rsidRPr="00AF721E" w:rsidRDefault="00AF721E" w:rsidP="00AF721E">
      <w:pPr>
        <w:spacing w:after="200" w:line="276" w:lineRule="auto"/>
        <w:rPr>
          <w:rFonts w:ascii="Garamond" w:eastAsia="Calibri" w:hAnsi="Garamond" w:cs="Times New Roman"/>
        </w:rPr>
      </w:pPr>
    </w:p>
    <w:p w14:paraId="0E409A5F" w14:textId="77777777" w:rsidR="00C463B4" w:rsidRDefault="00C463B4" w:rsidP="00C463B4"/>
    <w:sectPr w:rsidR="00C463B4" w:rsidSect="00C463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F3E6E"/>
    <w:multiLevelType w:val="hybridMultilevel"/>
    <w:tmpl w:val="A890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E0DE8"/>
    <w:multiLevelType w:val="hybridMultilevel"/>
    <w:tmpl w:val="3F20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B4"/>
    <w:rsid w:val="004824D3"/>
    <w:rsid w:val="004F4EDD"/>
    <w:rsid w:val="005D640C"/>
    <w:rsid w:val="007000D5"/>
    <w:rsid w:val="007D41E4"/>
    <w:rsid w:val="009B6CB2"/>
    <w:rsid w:val="00A16B53"/>
    <w:rsid w:val="00A575CA"/>
    <w:rsid w:val="00AD54E7"/>
    <w:rsid w:val="00AF721E"/>
    <w:rsid w:val="00B93BA9"/>
    <w:rsid w:val="00BF16F0"/>
    <w:rsid w:val="00C463B4"/>
    <w:rsid w:val="00DB518C"/>
    <w:rsid w:val="00FF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3EFF"/>
  <w15:chartTrackingRefBased/>
  <w15:docId w15:val="{0EDDBD56-8B23-402C-890D-B035A894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grinsteama\Documents\ACR%20Growth%20Example%20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grinsteama\Documents\ACR%20Growth%20Example%20data.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Iowa Assessment Standard</a:t>
            </a:r>
            <a:r>
              <a:rPr lang="en-US" sz="1200" baseline="0"/>
              <a:t> Scores Needed to be On Trajectory for College Readiness</a:t>
            </a:r>
          </a:p>
        </c:rich>
      </c:tx>
      <c:layout/>
      <c:overlay val="0"/>
    </c:title>
    <c:autoTitleDeleted val="0"/>
    <c:plotArea>
      <c:layout>
        <c:manualLayout>
          <c:layoutTarget val="inner"/>
          <c:xMode val="edge"/>
          <c:yMode val="edge"/>
          <c:x val="0.11319023478229605"/>
          <c:y val="0.21678503090339515"/>
          <c:w val="0.84662711681587743"/>
          <c:h val="0.57618457370248077"/>
        </c:manualLayout>
      </c:layout>
      <c:lineChart>
        <c:grouping val="standard"/>
        <c:varyColors val="0"/>
        <c:ser>
          <c:idx val="0"/>
          <c:order val="0"/>
          <c:tx>
            <c:strRef>
              <c:f>Sheet1!$A$35</c:f>
              <c:strCache>
                <c:ptCount val="1"/>
                <c:pt idx="0">
                  <c:v>Student A</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Sheet1!$B$34:$D$34</c:f>
              <c:strCache>
                <c:ptCount val="3"/>
                <c:pt idx="0">
                  <c:v>10th Grade</c:v>
                </c:pt>
                <c:pt idx="1">
                  <c:v>11th Grade</c:v>
                </c:pt>
                <c:pt idx="2">
                  <c:v>12th Grade</c:v>
                </c:pt>
              </c:strCache>
            </c:strRef>
          </c:cat>
          <c:val>
            <c:numRef>
              <c:f>Sheet1!$B$35:$D$35</c:f>
              <c:numCache>
                <c:formatCode>General</c:formatCode>
                <c:ptCount val="3"/>
                <c:pt idx="0">
                  <c:v>146</c:v>
                </c:pt>
                <c:pt idx="1">
                  <c:v>226</c:v>
                </c:pt>
                <c:pt idx="2">
                  <c:v>306</c:v>
                </c:pt>
              </c:numCache>
            </c:numRef>
          </c:val>
          <c:smooth val="0"/>
        </c:ser>
        <c:ser>
          <c:idx val="1"/>
          <c:order val="1"/>
          <c:tx>
            <c:strRef>
              <c:f>Sheet1!$A$36</c:f>
              <c:strCache>
                <c:ptCount val="1"/>
                <c:pt idx="0">
                  <c:v>Student B</c:v>
                </c:pt>
              </c:strCache>
            </c:strRef>
          </c:tx>
          <c:marker>
            <c:symbol val="diamond"/>
            <c:size val="5"/>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Sheet1!$B$34:$D$34</c:f>
              <c:strCache>
                <c:ptCount val="3"/>
                <c:pt idx="0">
                  <c:v>10th Grade</c:v>
                </c:pt>
                <c:pt idx="1">
                  <c:v>11th Grade</c:v>
                </c:pt>
                <c:pt idx="2">
                  <c:v>12th Grade</c:v>
                </c:pt>
              </c:strCache>
            </c:strRef>
          </c:cat>
          <c:val>
            <c:numRef>
              <c:f>Sheet1!$B$36:$D$36</c:f>
              <c:numCache>
                <c:formatCode>General</c:formatCode>
                <c:ptCount val="3"/>
                <c:pt idx="0">
                  <c:v>302</c:v>
                </c:pt>
                <c:pt idx="1">
                  <c:v>309</c:v>
                </c:pt>
                <c:pt idx="2">
                  <c:v>309</c:v>
                </c:pt>
              </c:numCache>
            </c:numRef>
          </c:val>
          <c:smooth val="0"/>
        </c:ser>
        <c:dLbls>
          <c:showLegendKey val="0"/>
          <c:showVal val="0"/>
          <c:showCatName val="0"/>
          <c:showSerName val="0"/>
          <c:showPercent val="0"/>
          <c:showBubbleSize val="0"/>
        </c:dLbls>
        <c:marker val="1"/>
        <c:smooth val="0"/>
        <c:axId val="1217080592"/>
        <c:axId val="1217078416"/>
      </c:lineChart>
      <c:catAx>
        <c:axId val="1217080592"/>
        <c:scaling>
          <c:orientation val="minMax"/>
        </c:scaling>
        <c:delete val="0"/>
        <c:axPos val="b"/>
        <c:numFmt formatCode="General" sourceLinked="0"/>
        <c:majorTickMark val="none"/>
        <c:minorTickMark val="none"/>
        <c:tickLblPos val="nextTo"/>
        <c:crossAx val="1217078416"/>
        <c:crosses val="autoZero"/>
        <c:auto val="1"/>
        <c:lblAlgn val="ctr"/>
        <c:lblOffset val="100"/>
        <c:noMultiLvlLbl val="0"/>
      </c:catAx>
      <c:valAx>
        <c:axId val="1217078416"/>
        <c:scaling>
          <c:orientation val="minMax"/>
        </c:scaling>
        <c:delete val="0"/>
        <c:axPos val="l"/>
        <c:majorGridlines/>
        <c:numFmt formatCode="General" sourceLinked="1"/>
        <c:majorTickMark val="none"/>
        <c:minorTickMark val="none"/>
        <c:tickLblPos val="nextTo"/>
        <c:spPr>
          <a:ln w="9525">
            <a:noFill/>
          </a:ln>
        </c:spPr>
        <c:crossAx val="121708059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t>Growth in Standard Scores</a:t>
            </a:r>
          </a:p>
        </c:rich>
      </c:tx>
      <c:layout/>
      <c:overlay val="0"/>
    </c:title>
    <c:autoTitleDeleted val="0"/>
    <c:plotArea>
      <c:layout/>
      <c:barChart>
        <c:barDir val="col"/>
        <c:grouping val="clustered"/>
        <c:varyColors val="0"/>
        <c:ser>
          <c:idx val="0"/>
          <c:order val="0"/>
          <c:invertIfNegative val="0"/>
          <c:dPt>
            <c:idx val="1"/>
            <c:invertIfNegative val="0"/>
            <c:bubble3D val="0"/>
            <c:spPr>
              <a:solidFill>
                <a:schemeClr val="accent2"/>
              </a:solidFill>
            </c:spPr>
          </c:dPt>
          <c:dPt>
            <c:idx val="4"/>
            <c:invertIfNegative val="0"/>
            <c:bubble3D val="0"/>
            <c:spPr>
              <a:solidFill>
                <a:schemeClr val="accent3"/>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Sheet1!$A$49:$B$54</c:f>
              <c:multiLvlStrCache>
                <c:ptCount val="6"/>
                <c:lvl>
                  <c:pt idx="0">
                    <c:v>College Readiness Growth</c:v>
                  </c:pt>
                  <c:pt idx="1">
                    <c:v>Actual Growth</c:v>
                  </c:pt>
                  <c:pt idx="2">
                    <c:v>Average Growth</c:v>
                  </c:pt>
                  <c:pt idx="3">
                    <c:v>College Readiness Growth</c:v>
                  </c:pt>
                  <c:pt idx="4">
                    <c:v>Actual Growth</c:v>
                  </c:pt>
                  <c:pt idx="5">
                    <c:v>Average Growth</c:v>
                  </c:pt>
                </c:lvl>
                <c:lvl>
                  <c:pt idx="0">
                    <c:v>Student A</c:v>
                  </c:pt>
                  <c:pt idx="3">
                    <c:v>Student B</c:v>
                  </c:pt>
                </c:lvl>
              </c:multiLvlStrCache>
            </c:multiLvlStrRef>
          </c:cat>
          <c:val>
            <c:numRef>
              <c:f>Sheet1!$C$49:$C$54</c:f>
              <c:numCache>
                <c:formatCode>General</c:formatCode>
                <c:ptCount val="6"/>
                <c:pt idx="0">
                  <c:v>80</c:v>
                </c:pt>
                <c:pt idx="1">
                  <c:v>69</c:v>
                </c:pt>
                <c:pt idx="2">
                  <c:v>7</c:v>
                </c:pt>
                <c:pt idx="3">
                  <c:v>7</c:v>
                </c:pt>
                <c:pt idx="4">
                  <c:v>7</c:v>
                </c:pt>
                <c:pt idx="5">
                  <c:v>7</c:v>
                </c:pt>
              </c:numCache>
            </c:numRef>
          </c:val>
        </c:ser>
        <c:dLbls>
          <c:showLegendKey val="0"/>
          <c:showVal val="0"/>
          <c:showCatName val="0"/>
          <c:showSerName val="0"/>
          <c:showPercent val="0"/>
          <c:showBubbleSize val="0"/>
        </c:dLbls>
        <c:gapWidth val="75"/>
        <c:overlap val="-25"/>
        <c:axId val="1217070800"/>
        <c:axId val="1217076240"/>
      </c:barChart>
      <c:catAx>
        <c:axId val="1217070800"/>
        <c:scaling>
          <c:orientation val="minMax"/>
        </c:scaling>
        <c:delete val="0"/>
        <c:axPos val="b"/>
        <c:numFmt formatCode="General" sourceLinked="0"/>
        <c:majorTickMark val="none"/>
        <c:minorTickMark val="none"/>
        <c:tickLblPos val="nextTo"/>
        <c:crossAx val="1217076240"/>
        <c:crosses val="autoZero"/>
        <c:auto val="1"/>
        <c:lblAlgn val="ctr"/>
        <c:lblOffset val="100"/>
        <c:noMultiLvlLbl val="0"/>
      </c:catAx>
      <c:valAx>
        <c:axId val="1217076240"/>
        <c:scaling>
          <c:orientation val="minMax"/>
        </c:scaling>
        <c:delete val="0"/>
        <c:axPos val="l"/>
        <c:majorGridlines/>
        <c:numFmt formatCode="General" sourceLinked="1"/>
        <c:majorTickMark val="none"/>
        <c:minorTickMark val="none"/>
        <c:tickLblPos val="nextTo"/>
        <c:spPr>
          <a:ln w="9525">
            <a:noFill/>
          </a:ln>
        </c:spPr>
        <c:crossAx val="1217070800"/>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0.29868</cdr:x>
      <cdr:y>0.18573</cdr:y>
    </cdr:from>
    <cdr:to>
      <cdr:x>0.39034</cdr:x>
      <cdr:y>0.3142</cdr:y>
    </cdr:to>
    <cdr:cxnSp macro="">
      <cdr:nvCxnSpPr>
        <cdr:cNvPr id="2" name="Straight Arrow Connector 1"/>
        <cdr:cNvCxnSpPr/>
      </cdr:nvCxnSpPr>
      <cdr:spPr>
        <a:xfrm xmlns:a="http://schemas.openxmlformats.org/drawingml/2006/main" flipH="1">
          <a:off x="1354585" y="497237"/>
          <a:ext cx="415694" cy="343935"/>
        </a:xfrm>
        <a:prstGeom xmlns:a="http://schemas.openxmlformats.org/drawingml/2006/main" prst="straightConnector1">
          <a:avLst/>
        </a:prstGeom>
        <a:ln xmlns:a="http://schemas.openxmlformats.org/drawingml/2006/main" w="285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1678</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Grinstead, Mary</dc:creator>
  <cp:keywords/>
  <dc:description/>
  <cp:lastModifiedBy>Grinstead, Mary</cp:lastModifiedBy>
  <cp:revision>5</cp:revision>
  <dcterms:created xsi:type="dcterms:W3CDTF">2015-11-24T21:51:00Z</dcterms:created>
  <dcterms:modified xsi:type="dcterms:W3CDTF">2015-12-01T21:30:00Z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813814377</vt:i4>
  </property>
  <property fmtid="{D5CDD505-2E9C-101B-9397-08002B2CF9AE}" pid="3" name="_NewReviewCycle">
    <vt:lpwstr/>
  </property>
  <property fmtid="{D5CDD505-2E9C-101B-9397-08002B2CF9AE}" pid="4" name="_EmailSubject">
    <vt:lpwstr>Iowa School Report Card (Attendance Center Rankings)</vt:lpwstr>
  </property>
  <property fmtid="{D5CDD505-2E9C-101B-9397-08002B2CF9AE}" pid="5" name="_AuthorEmail">
    <vt:lpwstr>Mary.Grinstead@dmschools.org</vt:lpwstr>
  </property>
  <property fmtid="{D5CDD505-2E9C-101B-9397-08002B2CF9AE}" pid="6" name="_AuthorEmailDisplayName">
    <vt:lpwstr>Grinstead, Mary</vt:lpwstr>
  </property>
</Properties>
</file>