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850" w:type="dxa"/>
        <w:tblInd w:w="-275" w:type="dxa"/>
        <w:tblLayout w:type="fixed"/>
        <w:tblLook w:val="04A0" w:firstRow="1" w:lastRow="0" w:firstColumn="1" w:lastColumn="0" w:noHBand="0" w:noVBand="1"/>
      </w:tblPr>
      <w:tblGrid>
        <w:gridCol w:w="6"/>
        <w:gridCol w:w="1524"/>
        <w:gridCol w:w="2626"/>
        <w:gridCol w:w="2626"/>
        <w:gridCol w:w="2626"/>
        <w:gridCol w:w="2626"/>
        <w:gridCol w:w="2816"/>
      </w:tblGrid>
      <w:tr w:rsidR="00092FDF" w:rsidRPr="00E54EE3" w14:paraId="493C70FB" w14:textId="77777777" w:rsidTr="002B35A8">
        <w:trPr>
          <w:tblHeader/>
        </w:trPr>
        <w:tc>
          <w:tcPr>
            <w:tcW w:w="1530" w:type="dxa"/>
            <w:gridSpan w:val="2"/>
            <w:shd w:val="clear" w:color="auto" w:fill="FFD966" w:themeFill="accent4" w:themeFillTint="99"/>
          </w:tcPr>
          <w:p w14:paraId="16611622" w14:textId="197BFC5D" w:rsidR="007E18FF" w:rsidRPr="00E54EE3" w:rsidRDefault="007E18FF">
            <w:pPr>
              <w:rPr>
                <w:rFonts w:ascii="Gill Sans MT" w:hAnsi="Gill Sans MT"/>
                <w:sz w:val="24"/>
                <w:szCs w:val="24"/>
              </w:rPr>
            </w:pPr>
            <w:r w:rsidRPr="00E54EE3">
              <w:rPr>
                <w:rFonts w:ascii="Gill Sans MT" w:hAnsi="Gill Sans MT"/>
                <w:sz w:val="24"/>
                <w:szCs w:val="24"/>
              </w:rPr>
              <w:t>Lever</w:t>
            </w:r>
          </w:p>
        </w:tc>
        <w:tc>
          <w:tcPr>
            <w:tcW w:w="2626" w:type="dxa"/>
            <w:shd w:val="clear" w:color="auto" w:fill="FFD966" w:themeFill="accent4" w:themeFillTint="99"/>
          </w:tcPr>
          <w:p w14:paraId="259AC8DB" w14:textId="4DAD93E0" w:rsidR="007E18FF" w:rsidRPr="00E54EE3" w:rsidRDefault="007E18FF">
            <w:pPr>
              <w:rPr>
                <w:rFonts w:ascii="Gill Sans MT" w:hAnsi="Gill Sans MT"/>
                <w:sz w:val="24"/>
                <w:szCs w:val="24"/>
              </w:rPr>
            </w:pPr>
            <w:r w:rsidRPr="00E54EE3">
              <w:rPr>
                <w:rFonts w:ascii="Gill Sans MT" w:hAnsi="Gill Sans MT"/>
                <w:sz w:val="24"/>
                <w:szCs w:val="24"/>
              </w:rPr>
              <w:t>Objective</w:t>
            </w:r>
          </w:p>
        </w:tc>
        <w:tc>
          <w:tcPr>
            <w:tcW w:w="2626" w:type="dxa"/>
            <w:shd w:val="clear" w:color="auto" w:fill="FFD966" w:themeFill="accent4" w:themeFillTint="99"/>
          </w:tcPr>
          <w:p w14:paraId="3E183D5F" w14:textId="25AF255F" w:rsidR="007E18FF" w:rsidRPr="00E54EE3" w:rsidRDefault="007E18FF">
            <w:pPr>
              <w:rPr>
                <w:rFonts w:ascii="Gill Sans MT" w:hAnsi="Gill Sans MT"/>
                <w:sz w:val="24"/>
                <w:szCs w:val="24"/>
              </w:rPr>
            </w:pPr>
            <w:r w:rsidRPr="00E54EE3">
              <w:rPr>
                <w:rFonts w:ascii="Gill Sans MT" w:hAnsi="Gill Sans MT"/>
                <w:sz w:val="24"/>
                <w:szCs w:val="24"/>
              </w:rPr>
              <w:t>October Indicator</w:t>
            </w:r>
          </w:p>
        </w:tc>
        <w:tc>
          <w:tcPr>
            <w:tcW w:w="2626" w:type="dxa"/>
            <w:shd w:val="clear" w:color="auto" w:fill="FFD966" w:themeFill="accent4" w:themeFillTint="99"/>
          </w:tcPr>
          <w:p w14:paraId="42F727C0" w14:textId="0ACF40C8" w:rsidR="007E18FF" w:rsidRPr="00E54EE3" w:rsidRDefault="007E18FF">
            <w:pPr>
              <w:rPr>
                <w:rFonts w:ascii="Gill Sans MT" w:hAnsi="Gill Sans MT"/>
                <w:sz w:val="24"/>
                <w:szCs w:val="24"/>
              </w:rPr>
            </w:pPr>
            <w:r>
              <w:rPr>
                <w:rFonts w:ascii="Gill Sans MT" w:hAnsi="Gill Sans MT"/>
                <w:sz w:val="24"/>
                <w:szCs w:val="24"/>
              </w:rPr>
              <w:t>January</w:t>
            </w:r>
            <w:r w:rsidRPr="00E54EE3">
              <w:rPr>
                <w:rFonts w:ascii="Gill Sans MT" w:hAnsi="Gill Sans MT"/>
                <w:sz w:val="24"/>
                <w:szCs w:val="24"/>
              </w:rPr>
              <w:t xml:space="preserve"> Indicator</w:t>
            </w:r>
          </w:p>
        </w:tc>
        <w:tc>
          <w:tcPr>
            <w:tcW w:w="2626" w:type="dxa"/>
            <w:shd w:val="clear" w:color="auto" w:fill="FFD966" w:themeFill="accent4" w:themeFillTint="99"/>
          </w:tcPr>
          <w:p w14:paraId="42E7373C" w14:textId="25BC55B0" w:rsidR="007E18FF" w:rsidRPr="00E54EE3" w:rsidRDefault="007E18FF">
            <w:pPr>
              <w:rPr>
                <w:rFonts w:ascii="Gill Sans MT" w:hAnsi="Gill Sans MT"/>
                <w:sz w:val="24"/>
                <w:szCs w:val="24"/>
              </w:rPr>
            </w:pPr>
            <w:r>
              <w:rPr>
                <w:rFonts w:ascii="Gill Sans MT" w:hAnsi="Gill Sans MT"/>
                <w:sz w:val="24"/>
                <w:szCs w:val="24"/>
              </w:rPr>
              <w:t>April</w:t>
            </w:r>
          </w:p>
        </w:tc>
        <w:tc>
          <w:tcPr>
            <w:tcW w:w="2816" w:type="dxa"/>
            <w:shd w:val="clear" w:color="auto" w:fill="FFD966" w:themeFill="accent4" w:themeFillTint="99"/>
          </w:tcPr>
          <w:p w14:paraId="1EBCBA1B" w14:textId="29BFECAB" w:rsidR="007E18FF" w:rsidRPr="00E54EE3" w:rsidRDefault="007E18FF">
            <w:pPr>
              <w:rPr>
                <w:rFonts w:ascii="Gill Sans MT" w:hAnsi="Gill Sans MT"/>
                <w:sz w:val="24"/>
                <w:szCs w:val="24"/>
              </w:rPr>
            </w:pPr>
            <w:r w:rsidRPr="00E54EE3">
              <w:rPr>
                <w:rFonts w:ascii="Gill Sans MT" w:hAnsi="Gill Sans MT"/>
                <w:sz w:val="24"/>
                <w:szCs w:val="24"/>
              </w:rPr>
              <w:t>End of Year Indicator</w:t>
            </w:r>
          </w:p>
        </w:tc>
      </w:tr>
      <w:tr w:rsidR="00092FDF" w:rsidRPr="00E54EE3" w14:paraId="1AF8C9B6" w14:textId="77777777" w:rsidTr="00646FC7">
        <w:trPr>
          <w:gridBefore w:val="1"/>
          <w:wBefore w:w="6" w:type="dxa"/>
          <w:trHeight w:val="1862"/>
        </w:trPr>
        <w:tc>
          <w:tcPr>
            <w:tcW w:w="1524" w:type="dxa"/>
          </w:tcPr>
          <w:p w14:paraId="2EC7187D" w14:textId="3E013EEA" w:rsidR="007E18FF" w:rsidRPr="00E54EE3" w:rsidRDefault="007E18FF" w:rsidP="00002D6D">
            <w:pPr>
              <w:rPr>
                <w:rFonts w:ascii="Gill Sans MT" w:hAnsi="Gill Sans MT"/>
                <w:sz w:val="24"/>
                <w:szCs w:val="24"/>
              </w:rPr>
            </w:pPr>
            <w:r w:rsidRPr="00E54EE3">
              <w:rPr>
                <w:rFonts w:ascii="Gill Sans MT" w:hAnsi="Gill Sans MT"/>
                <w:sz w:val="24"/>
                <w:szCs w:val="24"/>
              </w:rPr>
              <w:t>High Quality Curriculum</w:t>
            </w:r>
          </w:p>
        </w:tc>
        <w:tc>
          <w:tcPr>
            <w:tcW w:w="2626" w:type="dxa"/>
          </w:tcPr>
          <w:p w14:paraId="6D1E27C0" w14:textId="71C91DDD" w:rsidR="007E18FF" w:rsidRPr="00937A53" w:rsidRDefault="007E18FF" w:rsidP="00002D6D">
            <w:pPr>
              <w:pStyle w:val="NoSpacing"/>
              <w:rPr>
                <w:rFonts w:ascii="Garamond" w:hAnsi="Garamond"/>
                <w:shd w:val="clear" w:color="auto" w:fill="FFFFFF"/>
              </w:rPr>
            </w:pPr>
            <w:r w:rsidRPr="00937A53">
              <w:rPr>
                <w:rFonts w:ascii="Garamond" w:hAnsi="Garamond"/>
              </w:rPr>
              <w:t xml:space="preserve">1A.  </w:t>
            </w:r>
            <w:r w:rsidRPr="00937A53">
              <w:rPr>
                <w:rFonts w:ascii="Garamond" w:hAnsi="Garamond"/>
                <w:shd w:val="clear" w:color="auto" w:fill="FFFFFF"/>
              </w:rPr>
              <w:t xml:space="preserve">Full implementation in 100% of </w:t>
            </w:r>
            <w:r w:rsidR="007F2904">
              <w:rPr>
                <w:rFonts w:ascii="Garamond" w:hAnsi="Garamond"/>
                <w:shd w:val="clear" w:color="auto" w:fill="FFFFFF"/>
              </w:rPr>
              <w:t xml:space="preserve">Alg </w:t>
            </w:r>
            <w:r w:rsidR="00993310">
              <w:rPr>
                <w:rFonts w:ascii="Garamond" w:hAnsi="Garamond"/>
                <w:shd w:val="clear" w:color="auto" w:fill="FFFFFF"/>
              </w:rPr>
              <w:t>I</w:t>
            </w:r>
            <w:r w:rsidR="00343D36">
              <w:rPr>
                <w:rFonts w:ascii="Garamond" w:hAnsi="Garamond"/>
                <w:shd w:val="clear" w:color="auto" w:fill="FFFFFF"/>
              </w:rPr>
              <w:t xml:space="preserve">, </w:t>
            </w:r>
            <w:r w:rsidR="00993310">
              <w:rPr>
                <w:rFonts w:ascii="Garamond" w:hAnsi="Garamond"/>
                <w:shd w:val="clear" w:color="auto" w:fill="FFFFFF"/>
              </w:rPr>
              <w:t>Alg II</w:t>
            </w:r>
            <w:r w:rsidR="00343D36">
              <w:rPr>
                <w:rFonts w:ascii="Garamond" w:hAnsi="Garamond"/>
                <w:shd w:val="clear" w:color="auto" w:fill="FFFFFF"/>
              </w:rPr>
              <w:t>, Geometry</w:t>
            </w:r>
            <w:r w:rsidR="007F2904">
              <w:rPr>
                <w:rFonts w:ascii="Garamond" w:hAnsi="Garamond"/>
                <w:shd w:val="clear" w:color="auto" w:fill="FFFFFF"/>
              </w:rPr>
              <w:t xml:space="preserve"> </w:t>
            </w:r>
            <w:r w:rsidRPr="00937A53">
              <w:rPr>
                <w:rFonts w:ascii="Garamond" w:hAnsi="Garamond"/>
                <w:shd w:val="clear" w:color="auto" w:fill="FFFFFF"/>
              </w:rPr>
              <w:t>classrooms</w:t>
            </w:r>
            <w:r w:rsidR="00343D36">
              <w:rPr>
                <w:rFonts w:ascii="Garamond" w:hAnsi="Garamond"/>
                <w:shd w:val="clear" w:color="auto" w:fill="FFFFFF"/>
              </w:rPr>
              <w:t>,</w:t>
            </w:r>
            <w:r w:rsidRPr="00937A53">
              <w:rPr>
                <w:rFonts w:ascii="Garamond" w:hAnsi="Garamond"/>
                <w:shd w:val="clear" w:color="auto" w:fill="FFFFFF"/>
              </w:rPr>
              <w:t xml:space="preserve"> IM curriculum: </w:t>
            </w:r>
            <w:r w:rsidRPr="00937A53">
              <w:rPr>
                <w:rStyle w:val="Emphasis"/>
                <w:rFonts w:ascii="Garamond" w:hAnsi="Garamond"/>
                <w:i w:val="0"/>
              </w:rPr>
              <w:t>all</w:t>
            </w:r>
            <w:r w:rsidRPr="00937A53">
              <w:rPr>
                <w:rFonts w:ascii="Garamond" w:hAnsi="Garamond"/>
                <w:shd w:val="clear" w:color="auto" w:fill="FFFFFF"/>
              </w:rPr>
              <w:t> design principles are in place and curriculum materials are used as intended.</w:t>
            </w:r>
          </w:p>
          <w:p w14:paraId="27033BF1" w14:textId="77777777" w:rsidR="007E18FF" w:rsidRPr="00937A53" w:rsidRDefault="007E18FF" w:rsidP="00002D6D">
            <w:pPr>
              <w:rPr>
                <w:rFonts w:ascii="Garamond" w:hAnsi="Garamond"/>
              </w:rPr>
            </w:pPr>
          </w:p>
        </w:tc>
        <w:tc>
          <w:tcPr>
            <w:tcW w:w="2626" w:type="dxa"/>
          </w:tcPr>
          <w:p w14:paraId="6C2CB6B2" w14:textId="738B44DB" w:rsidR="007E18FF" w:rsidRPr="00937A53" w:rsidRDefault="007E18FF" w:rsidP="00002D6D">
            <w:pPr>
              <w:rPr>
                <w:rFonts w:ascii="Garamond" w:hAnsi="Garamond"/>
              </w:rPr>
            </w:pPr>
            <w:r w:rsidRPr="00937A53">
              <w:rPr>
                <w:rFonts w:ascii="Garamond" w:hAnsi="Garamond"/>
              </w:rPr>
              <w:t>50% of observations (</w:t>
            </w:r>
            <w:r w:rsidR="00AF270E">
              <w:rPr>
                <w:rFonts w:ascii="Garamond" w:hAnsi="Garamond"/>
              </w:rPr>
              <w:t>ALL teachers</w:t>
            </w:r>
            <w:r w:rsidRPr="00937A53">
              <w:rPr>
                <w:rFonts w:ascii="Garamond" w:hAnsi="Garamond"/>
              </w:rPr>
              <w:t xml:space="preserve"> represented in data set) will reach a</w:t>
            </w:r>
            <w:r w:rsidR="00D8172C">
              <w:rPr>
                <w:rFonts w:ascii="Garamond" w:hAnsi="Garamond"/>
              </w:rPr>
              <w:t xml:space="preserve"> level 3 (Implementing) or</w:t>
            </w:r>
            <w:r w:rsidRPr="00937A53">
              <w:rPr>
                <w:rFonts w:ascii="Garamond" w:hAnsi="Garamond"/>
              </w:rPr>
              <w:t xml:space="preserve"> level 4 (Integrating) on C1.2 on the Curriculum Walkthrough Form for IM.</w:t>
            </w:r>
          </w:p>
          <w:p w14:paraId="421F5FCC" w14:textId="4ED7AEC0" w:rsidR="007E18FF" w:rsidRPr="00937A53" w:rsidRDefault="007E18FF" w:rsidP="00002D6D">
            <w:pPr>
              <w:rPr>
                <w:rFonts w:ascii="Garamond" w:hAnsi="Garamond"/>
              </w:rPr>
            </w:pPr>
          </w:p>
        </w:tc>
        <w:tc>
          <w:tcPr>
            <w:tcW w:w="2626" w:type="dxa"/>
          </w:tcPr>
          <w:p w14:paraId="48AAE761" w14:textId="02748C07" w:rsidR="007E18FF" w:rsidRPr="00937A53" w:rsidRDefault="007E18FF" w:rsidP="00002D6D">
            <w:pPr>
              <w:rPr>
                <w:rFonts w:ascii="Garamond" w:hAnsi="Garamond"/>
              </w:rPr>
            </w:pPr>
            <w:r w:rsidRPr="00937A53">
              <w:rPr>
                <w:rFonts w:ascii="Garamond" w:hAnsi="Garamond"/>
              </w:rPr>
              <w:t>60% of observations (</w:t>
            </w:r>
            <w:r w:rsidR="00AF270E">
              <w:rPr>
                <w:rFonts w:ascii="Garamond" w:hAnsi="Garamond"/>
              </w:rPr>
              <w:t>ALL teachers</w:t>
            </w:r>
            <w:r w:rsidRPr="00937A53">
              <w:rPr>
                <w:rFonts w:ascii="Garamond" w:hAnsi="Garamond"/>
              </w:rPr>
              <w:t xml:space="preserve"> represented in data set) will reach a </w:t>
            </w:r>
            <w:r w:rsidR="00D8172C">
              <w:rPr>
                <w:rFonts w:ascii="Garamond" w:hAnsi="Garamond"/>
              </w:rPr>
              <w:t>level 3 (Implementing) or</w:t>
            </w:r>
            <w:r w:rsidR="00D8172C" w:rsidRPr="00937A53">
              <w:rPr>
                <w:rFonts w:ascii="Garamond" w:hAnsi="Garamond"/>
              </w:rPr>
              <w:t xml:space="preserve"> level </w:t>
            </w:r>
            <w:r w:rsidRPr="00937A53">
              <w:rPr>
                <w:rFonts w:ascii="Garamond" w:hAnsi="Garamond"/>
              </w:rPr>
              <w:t>4 (Integrating) on C1.2 on the Curriculum Walkthrough Form for IM.</w:t>
            </w:r>
          </w:p>
        </w:tc>
        <w:tc>
          <w:tcPr>
            <w:tcW w:w="2626" w:type="dxa"/>
          </w:tcPr>
          <w:p w14:paraId="003BA3E3" w14:textId="2826F0E0" w:rsidR="007E18FF" w:rsidRPr="00937A53" w:rsidRDefault="001873F7" w:rsidP="00002D6D">
            <w:pPr>
              <w:rPr>
                <w:rFonts w:ascii="Garamond" w:hAnsi="Garamond"/>
              </w:rPr>
            </w:pPr>
            <w:r w:rsidRPr="00937A53">
              <w:rPr>
                <w:rFonts w:ascii="Garamond" w:hAnsi="Garamond"/>
              </w:rPr>
              <w:t>70</w:t>
            </w:r>
            <w:r w:rsidR="007E18FF" w:rsidRPr="00937A53">
              <w:rPr>
                <w:rFonts w:ascii="Garamond" w:hAnsi="Garamond"/>
              </w:rPr>
              <w:t>% of observations (</w:t>
            </w:r>
            <w:r w:rsidR="00AF270E">
              <w:rPr>
                <w:rFonts w:ascii="Garamond" w:hAnsi="Garamond"/>
              </w:rPr>
              <w:t>ALL teachers</w:t>
            </w:r>
            <w:r w:rsidR="007E18FF" w:rsidRPr="00937A53">
              <w:rPr>
                <w:rFonts w:ascii="Garamond" w:hAnsi="Garamond"/>
              </w:rPr>
              <w:t xml:space="preserve"> represented in data set) will reach a </w:t>
            </w:r>
            <w:r w:rsidR="00D8172C">
              <w:rPr>
                <w:rFonts w:ascii="Garamond" w:hAnsi="Garamond"/>
              </w:rPr>
              <w:t>level 3 (Implementing) or</w:t>
            </w:r>
            <w:r w:rsidR="00D8172C" w:rsidRPr="00937A53">
              <w:rPr>
                <w:rFonts w:ascii="Garamond" w:hAnsi="Garamond"/>
              </w:rPr>
              <w:t xml:space="preserve"> level </w:t>
            </w:r>
            <w:r w:rsidR="007E18FF" w:rsidRPr="00937A53">
              <w:rPr>
                <w:rFonts w:ascii="Garamond" w:hAnsi="Garamond"/>
              </w:rPr>
              <w:t>4 (Integrating) on C1.2 on the Curriculum Walkthrough Form for IM.</w:t>
            </w:r>
          </w:p>
        </w:tc>
        <w:tc>
          <w:tcPr>
            <w:tcW w:w="2816" w:type="dxa"/>
          </w:tcPr>
          <w:p w14:paraId="5F7B5F02" w14:textId="503BED7C" w:rsidR="007E18FF" w:rsidRPr="00937A53" w:rsidRDefault="001873F7" w:rsidP="00002D6D">
            <w:pPr>
              <w:rPr>
                <w:rFonts w:ascii="Garamond" w:hAnsi="Garamond"/>
              </w:rPr>
            </w:pPr>
            <w:r w:rsidRPr="00937A53">
              <w:rPr>
                <w:rFonts w:ascii="Garamond" w:hAnsi="Garamond"/>
              </w:rPr>
              <w:t>80</w:t>
            </w:r>
            <w:r w:rsidR="007E18FF" w:rsidRPr="00937A53">
              <w:rPr>
                <w:rFonts w:ascii="Garamond" w:hAnsi="Garamond"/>
              </w:rPr>
              <w:t>% of observations (</w:t>
            </w:r>
            <w:r w:rsidR="00AF270E">
              <w:rPr>
                <w:rFonts w:ascii="Garamond" w:hAnsi="Garamond"/>
              </w:rPr>
              <w:t>ALL teachers</w:t>
            </w:r>
            <w:r w:rsidR="007E18FF" w:rsidRPr="00937A53">
              <w:rPr>
                <w:rFonts w:ascii="Garamond" w:hAnsi="Garamond"/>
              </w:rPr>
              <w:t xml:space="preserve"> represented in data set) will reach </w:t>
            </w:r>
            <w:r w:rsidR="00D8172C">
              <w:rPr>
                <w:rFonts w:ascii="Garamond" w:hAnsi="Garamond"/>
              </w:rPr>
              <w:t>level 3 (Implementing) or</w:t>
            </w:r>
            <w:r w:rsidR="00D8172C" w:rsidRPr="00937A53">
              <w:rPr>
                <w:rFonts w:ascii="Garamond" w:hAnsi="Garamond"/>
              </w:rPr>
              <w:t xml:space="preserve"> level </w:t>
            </w:r>
            <w:r w:rsidR="007E18FF" w:rsidRPr="00937A53">
              <w:rPr>
                <w:rFonts w:ascii="Garamond" w:hAnsi="Garamond"/>
              </w:rPr>
              <w:t>4 (Integrating) on C1.2 on the Curriculum Walkthrough Form for IM.</w:t>
            </w:r>
          </w:p>
        </w:tc>
      </w:tr>
      <w:tr w:rsidR="00092FDF" w:rsidRPr="00E54EE3" w14:paraId="3DFC69AB" w14:textId="77777777" w:rsidTr="002B35A8">
        <w:tc>
          <w:tcPr>
            <w:tcW w:w="1530" w:type="dxa"/>
            <w:gridSpan w:val="2"/>
            <w:vMerge w:val="restart"/>
          </w:tcPr>
          <w:p w14:paraId="28EF1226" w14:textId="769816C4" w:rsidR="007E18FF" w:rsidRPr="00E54EE3" w:rsidRDefault="007E18FF" w:rsidP="00587482">
            <w:pPr>
              <w:rPr>
                <w:rFonts w:ascii="Gill Sans MT" w:hAnsi="Gill Sans MT"/>
                <w:sz w:val="24"/>
                <w:szCs w:val="24"/>
              </w:rPr>
            </w:pPr>
            <w:r w:rsidRPr="00E54EE3">
              <w:rPr>
                <w:rFonts w:ascii="Gill Sans MT" w:hAnsi="Gill Sans MT"/>
                <w:sz w:val="24"/>
                <w:szCs w:val="24"/>
              </w:rPr>
              <w:t>Data Literacy</w:t>
            </w:r>
          </w:p>
          <w:p w14:paraId="555F19DE" w14:textId="36DBC2B6" w:rsidR="007E18FF" w:rsidRPr="00E54EE3" w:rsidRDefault="007E18FF" w:rsidP="00587482">
            <w:pPr>
              <w:rPr>
                <w:rFonts w:ascii="Gill Sans MT" w:hAnsi="Gill Sans MT"/>
                <w:sz w:val="24"/>
                <w:szCs w:val="24"/>
              </w:rPr>
            </w:pPr>
          </w:p>
        </w:tc>
        <w:tc>
          <w:tcPr>
            <w:tcW w:w="2626" w:type="dxa"/>
          </w:tcPr>
          <w:p w14:paraId="07F802F6" w14:textId="77777777" w:rsidR="001F44C2" w:rsidRPr="00937A53" w:rsidRDefault="007E18FF" w:rsidP="001F44C2">
            <w:pPr>
              <w:rPr>
                <w:rFonts w:ascii="Garamond" w:hAnsi="Garamond"/>
                <w:shd w:val="clear" w:color="auto" w:fill="FFFFFF"/>
              </w:rPr>
            </w:pPr>
            <w:r w:rsidRPr="00937A53">
              <w:rPr>
                <w:rFonts w:ascii="Times New Roman" w:hAnsi="Times New Roman" w:cs="Times New Roman"/>
                <w:shd w:val="clear" w:color="auto" w:fill="FFFFFF"/>
              </w:rPr>
              <w:t>​</w:t>
            </w:r>
            <w:r w:rsidR="001F44C2" w:rsidRPr="00937A53">
              <w:rPr>
                <w:rFonts w:ascii="Garamond" w:hAnsi="Garamond"/>
                <w:shd w:val="clear" w:color="auto" w:fill="FFFFFF"/>
              </w:rPr>
              <w:t>2A.  Schools build consensus on the need for data-based decision making and engage their staff in a </w:t>
            </w:r>
            <w:r w:rsidR="001F44C2" w:rsidRPr="00937A53">
              <w:rPr>
                <w:rFonts w:ascii="Garamond" w:hAnsi="Garamond"/>
                <w:b/>
                <w:i/>
                <w:shd w:val="clear" w:color="auto" w:fill="FFFFFF"/>
              </w:rPr>
              <w:t>meaningful cadence</w:t>
            </w:r>
            <w:r w:rsidR="001F44C2" w:rsidRPr="00937A53">
              <w:rPr>
                <w:rFonts w:ascii="Garamond" w:hAnsi="Garamond"/>
                <w:shd w:val="clear" w:color="auto" w:fill="FFFFFF"/>
              </w:rPr>
              <w:t xml:space="preserve"> and </w:t>
            </w:r>
            <w:r w:rsidR="001F44C2" w:rsidRPr="00937A53">
              <w:rPr>
                <w:rFonts w:ascii="Garamond" w:hAnsi="Garamond"/>
                <w:b/>
                <w:shd w:val="clear" w:color="auto" w:fill="FFFFFF"/>
              </w:rPr>
              <w:t>process</w:t>
            </w:r>
            <w:r w:rsidR="001F44C2" w:rsidRPr="00937A53">
              <w:rPr>
                <w:rFonts w:ascii="Garamond" w:hAnsi="Garamond"/>
                <w:shd w:val="clear" w:color="auto" w:fill="FFFFFF"/>
              </w:rPr>
              <w:t xml:space="preserve"> for collaborative inquiry and data-based decision making.</w:t>
            </w:r>
          </w:p>
          <w:p w14:paraId="0EF47FD3" w14:textId="50964E4A" w:rsidR="007E18FF" w:rsidRPr="00937A53" w:rsidRDefault="007E18FF" w:rsidP="00587482">
            <w:pPr>
              <w:rPr>
                <w:rFonts w:ascii="Garamond" w:hAnsi="Garamond"/>
                <w:shd w:val="clear" w:color="auto" w:fill="FFFFFF"/>
              </w:rPr>
            </w:pPr>
          </w:p>
          <w:p w14:paraId="3C702FD1" w14:textId="77777777" w:rsidR="007E18FF" w:rsidRPr="00937A53" w:rsidRDefault="007E18FF" w:rsidP="00587482">
            <w:pPr>
              <w:rPr>
                <w:rFonts w:ascii="Garamond" w:hAnsi="Garamond"/>
              </w:rPr>
            </w:pPr>
          </w:p>
        </w:tc>
        <w:tc>
          <w:tcPr>
            <w:tcW w:w="2626" w:type="dxa"/>
          </w:tcPr>
          <w:p w14:paraId="36E73A6B" w14:textId="7A1C9DB9" w:rsidR="007E18FF" w:rsidRPr="00937A53" w:rsidRDefault="007E18FF" w:rsidP="00587482">
            <w:pPr>
              <w:rPr>
                <w:rFonts w:ascii="Garamond" w:hAnsi="Garamond"/>
              </w:rPr>
            </w:pPr>
          </w:p>
        </w:tc>
        <w:tc>
          <w:tcPr>
            <w:tcW w:w="2626" w:type="dxa"/>
          </w:tcPr>
          <w:p w14:paraId="283A7C7E" w14:textId="77777777" w:rsidR="008A6E4A" w:rsidRPr="00937A53" w:rsidRDefault="008A6E4A" w:rsidP="008A6E4A">
            <w:pPr>
              <w:rPr>
                <w:rFonts w:ascii="Garamond" w:hAnsi="Garamond"/>
                <w:b/>
                <w:shd w:val="clear" w:color="auto" w:fill="FFFFFF"/>
              </w:rPr>
            </w:pPr>
            <w:r w:rsidRPr="00937A53">
              <w:rPr>
                <w:rFonts w:ascii="Garamond" w:hAnsi="Garamond"/>
              </w:rPr>
              <w:t>S</w:t>
            </w:r>
            <w:r w:rsidRPr="00937A53">
              <w:rPr>
                <w:rFonts w:ascii="Garamond" w:hAnsi="Garamond"/>
                <w:shd w:val="clear" w:color="auto" w:fill="FFFFFF"/>
              </w:rPr>
              <w:t>chools score a 2/Operationalizing on Item A-1 (Leadership Capacity and Collaboration) from the Data Literacy Outcome Rubric </w:t>
            </w:r>
          </w:p>
          <w:p w14:paraId="66C6BD92" w14:textId="77777777" w:rsidR="008A6E4A" w:rsidRPr="00937A53" w:rsidRDefault="008A6E4A" w:rsidP="008A6E4A">
            <w:pPr>
              <w:rPr>
                <w:rFonts w:ascii="Garamond" w:hAnsi="Garamond"/>
                <w:b/>
                <w:shd w:val="clear" w:color="auto" w:fill="FFFFFF"/>
              </w:rPr>
            </w:pPr>
            <w:r w:rsidRPr="00937A53">
              <w:rPr>
                <w:rFonts w:ascii="Garamond" w:hAnsi="Garamond"/>
                <w:b/>
                <w:shd w:val="clear" w:color="auto" w:fill="FFFFFF"/>
              </w:rPr>
              <w:t>AND</w:t>
            </w:r>
          </w:p>
          <w:p w14:paraId="5FB8FE60" w14:textId="71637509" w:rsidR="001F44C2" w:rsidRPr="00937A53" w:rsidRDefault="008A6E4A" w:rsidP="008A6E4A">
            <w:pPr>
              <w:rPr>
                <w:rFonts w:ascii="Garamond" w:hAnsi="Garamond"/>
                <w:b/>
              </w:rPr>
            </w:pPr>
            <w:r w:rsidRPr="00937A53">
              <w:rPr>
                <w:rFonts w:ascii="Garamond" w:hAnsi="Garamond"/>
                <w:shd w:val="clear" w:color="auto" w:fill="FFFFFF"/>
              </w:rPr>
              <w:t>Schools score a 1/Emerging on Item A-II (Infrastructure) from the Data Literacy Outcome Rubric </w:t>
            </w:r>
          </w:p>
        </w:tc>
        <w:tc>
          <w:tcPr>
            <w:tcW w:w="2626" w:type="dxa"/>
          </w:tcPr>
          <w:p w14:paraId="720B8A79" w14:textId="77777777" w:rsidR="007E18FF" w:rsidRPr="00937A53" w:rsidRDefault="007E18FF" w:rsidP="00587482">
            <w:pPr>
              <w:rPr>
                <w:rFonts w:ascii="Garamond" w:hAnsi="Garamond"/>
              </w:rPr>
            </w:pPr>
          </w:p>
        </w:tc>
        <w:tc>
          <w:tcPr>
            <w:tcW w:w="2816" w:type="dxa"/>
          </w:tcPr>
          <w:p w14:paraId="15CC501E" w14:textId="77777777" w:rsidR="00DC0921" w:rsidRPr="00937A53" w:rsidRDefault="00DC0921" w:rsidP="00DC0921">
            <w:pPr>
              <w:rPr>
                <w:rFonts w:ascii="Garamond" w:hAnsi="Garamond"/>
                <w:shd w:val="clear" w:color="auto" w:fill="FFFFFF"/>
              </w:rPr>
            </w:pPr>
            <w:r w:rsidRPr="00937A53">
              <w:rPr>
                <w:rFonts w:ascii="Garamond" w:hAnsi="Garamond"/>
                <w:i/>
              </w:rPr>
              <w:t xml:space="preserve">End of year:  </w:t>
            </w:r>
            <w:r w:rsidRPr="00937A53">
              <w:rPr>
                <w:rFonts w:ascii="Garamond" w:hAnsi="Garamond"/>
              </w:rPr>
              <w:t>S</w:t>
            </w:r>
            <w:r w:rsidRPr="00937A53">
              <w:rPr>
                <w:rFonts w:ascii="Garamond" w:hAnsi="Garamond"/>
                <w:shd w:val="clear" w:color="auto" w:fill="FFFFFF"/>
              </w:rPr>
              <w:t>chools score a 3/Optimizing on Item A-I (Leadership Capacity and Collaboration) from the Data Literacy Outcome Rubric</w:t>
            </w:r>
          </w:p>
          <w:p w14:paraId="5A2A4D63" w14:textId="77777777" w:rsidR="00DC0921" w:rsidRPr="00937A53" w:rsidRDefault="00DC0921" w:rsidP="00DC0921">
            <w:pPr>
              <w:rPr>
                <w:rFonts w:ascii="Garamond" w:hAnsi="Garamond"/>
                <w:b/>
                <w:shd w:val="clear" w:color="auto" w:fill="FFFFFF"/>
              </w:rPr>
            </w:pPr>
            <w:r w:rsidRPr="00937A53">
              <w:rPr>
                <w:rFonts w:ascii="Garamond" w:hAnsi="Garamond"/>
                <w:b/>
                <w:shd w:val="clear" w:color="auto" w:fill="FFFFFF"/>
              </w:rPr>
              <w:t>AND</w:t>
            </w:r>
          </w:p>
          <w:p w14:paraId="23E7BB8A" w14:textId="77777777" w:rsidR="00DC0921" w:rsidRPr="00937A53" w:rsidRDefault="00DC0921" w:rsidP="00DC0921">
            <w:pPr>
              <w:rPr>
                <w:rFonts w:ascii="Garamond" w:hAnsi="Garamond"/>
                <w:shd w:val="clear" w:color="auto" w:fill="FFFFFF"/>
              </w:rPr>
            </w:pPr>
            <w:r w:rsidRPr="00937A53">
              <w:rPr>
                <w:rFonts w:ascii="Garamond" w:hAnsi="Garamond"/>
              </w:rPr>
              <w:t>S</w:t>
            </w:r>
            <w:r w:rsidRPr="00937A53">
              <w:rPr>
                <w:rFonts w:ascii="Garamond" w:hAnsi="Garamond"/>
                <w:shd w:val="clear" w:color="auto" w:fill="FFFFFF"/>
              </w:rPr>
              <w:t>chools score a 2/Operationalizing on Item A-II (Infrastructure) from the Data Literacy Outcome Rubric  </w:t>
            </w:r>
          </w:p>
          <w:p w14:paraId="57038B1B" w14:textId="11CD8DF9" w:rsidR="007E18FF" w:rsidRPr="00937A53" w:rsidRDefault="007E18FF" w:rsidP="00587482">
            <w:pPr>
              <w:rPr>
                <w:rFonts w:ascii="Garamond" w:hAnsi="Garamond"/>
              </w:rPr>
            </w:pPr>
          </w:p>
        </w:tc>
      </w:tr>
      <w:tr w:rsidR="00092FDF" w:rsidRPr="00E54EE3" w14:paraId="74D28102" w14:textId="77777777" w:rsidTr="002B35A8">
        <w:tc>
          <w:tcPr>
            <w:tcW w:w="1530" w:type="dxa"/>
            <w:gridSpan w:val="2"/>
            <w:vMerge/>
          </w:tcPr>
          <w:p w14:paraId="451C3E9A" w14:textId="77777777" w:rsidR="007E18FF" w:rsidRPr="00E54EE3" w:rsidRDefault="007E18FF" w:rsidP="00587482">
            <w:pPr>
              <w:rPr>
                <w:rFonts w:ascii="Gill Sans MT" w:hAnsi="Gill Sans MT"/>
                <w:sz w:val="24"/>
                <w:szCs w:val="24"/>
              </w:rPr>
            </w:pPr>
          </w:p>
        </w:tc>
        <w:tc>
          <w:tcPr>
            <w:tcW w:w="2626" w:type="dxa"/>
          </w:tcPr>
          <w:p w14:paraId="679A864A" w14:textId="3EEA0FA2" w:rsidR="007E18FF" w:rsidRPr="00937A53" w:rsidRDefault="007E18FF" w:rsidP="00347AD9">
            <w:pPr>
              <w:rPr>
                <w:rFonts w:ascii="Garamond" w:hAnsi="Garamond"/>
                <w:shd w:val="clear" w:color="auto" w:fill="FFFFFF"/>
              </w:rPr>
            </w:pPr>
            <w:r w:rsidRPr="00937A53">
              <w:rPr>
                <w:rFonts w:ascii="Times New Roman" w:hAnsi="Times New Roman" w:cs="Times New Roman"/>
                <w:highlight w:val="yellow"/>
                <w:shd w:val="clear" w:color="auto" w:fill="FFFFFF"/>
              </w:rPr>
              <w:t>​</w:t>
            </w:r>
            <w:r w:rsidRPr="00937A53">
              <w:rPr>
                <w:rFonts w:ascii="Garamond" w:hAnsi="Garamond"/>
                <w:shd w:val="clear" w:color="auto" w:fill="FFFFFF"/>
              </w:rPr>
              <w:t xml:space="preserve"> </w:t>
            </w:r>
            <w:r w:rsidR="00347AD9" w:rsidRPr="00937A53">
              <w:rPr>
                <w:rFonts w:ascii="Garamond" w:hAnsi="Garamond"/>
                <w:shd w:val="clear" w:color="auto" w:fill="FFFFFF"/>
              </w:rPr>
              <w:t>2B.  Schools have an action plan with clear action steps for accountability and meaningful implementation indicators of success and schools </w:t>
            </w:r>
            <w:r w:rsidR="00347AD9" w:rsidRPr="00937A53">
              <w:rPr>
                <w:rFonts w:ascii="Garamond" w:hAnsi="Garamond"/>
                <w:b/>
                <w:shd w:val="clear" w:color="auto" w:fill="FFFFFF"/>
              </w:rPr>
              <w:t>measure and verify</w:t>
            </w:r>
            <w:r w:rsidR="00347AD9" w:rsidRPr="00937A53">
              <w:rPr>
                <w:rFonts w:ascii="Garamond" w:hAnsi="Garamond"/>
                <w:shd w:val="clear" w:color="auto" w:fill="FFFFFF"/>
              </w:rPr>
              <w:t xml:space="preserve"> their action plan indicators of success at least quarterly.</w:t>
            </w:r>
          </w:p>
        </w:tc>
        <w:tc>
          <w:tcPr>
            <w:tcW w:w="2626" w:type="dxa"/>
          </w:tcPr>
          <w:p w14:paraId="2E1EB7C0" w14:textId="77777777" w:rsidR="007E18FF" w:rsidRPr="00937A53" w:rsidRDefault="007E18FF" w:rsidP="00587482">
            <w:pPr>
              <w:rPr>
                <w:rFonts w:ascii="Garamond" w:hAnsi="Garamond"/>
              </w:rPr>
            </w:pPr>
          </w:p>
        </w:tc>
        <w:tc>
          <w:tcPr>
            <w:tcW w:w="2626" w:type="dxa"/>
          </w:tcPr>
          <w:p w14:paraId="73D92400" w14:textId="77777777" w:rsidR="00B32D7C" w:rsidRPr="00937A53" w:rsidRDefault="00B32D7C" w:rsidP="00B32D7C">
            <w:pPr>
              <w:rPr>
                <w:rFonts w:ascii="Garamond" w:hAnsi="Garamond"/>
                <w:shd w:val="clear" w:color="auto" w:fill="FFFFFF"/>
              </w:rPr>
            </w:pPr>
            <w:r w:rsidRPr="00937A53">
              <w:rPr>
                <w:rFonts w:ascii="Garamond" w:hAnsi="Garamond"/>
              </w:rPr>
              <w:t>Sc</w:t>
            </w:r>
            <w:r w:rsidRPr="00937A53">
              <w:rPr>
                <w:rFonts w:ascii="Garamond" w:hAnsi="Garamond"/>
                <w:shd w:val="clear" w:color="auto" w:fill="FFFFFF"/>
              </w:rPr>
              <w:t>hools score a 2/Operationalizing on Item B-I (Goal Setting and Action Planning) from the Data Literacy Outcome Rubric </w:t>
            </w:r>
          </w:p>
          <w:p w14:paraId="6C46F9FA" w14:textId="77777777" w:rsidR="00B32D7C" w:rsidRPr="00937A53" w:rsidRDefault="00B32D7C" w:rsidP="00B32D7C">
            <w:pPr>
              <w:rPr>
                <w:rFonts w:ascii="Garamond" w:hAnsi="Garamond"/>
                <w:b/>
                <w:shd w:val="clear" w:color="auto" w:fill="FFFFFF"/>
              </w:rPr>
            </w:pPr>
            <w:r w:rsidRPr="00937A53">
              <w:rPr>
                <w:rFonts w:ascii="Garamond" w:hAnsi="Garamond"/>
                <w:b/>
                <w:shd w:val="clear" w:color="auto" w:fill="FFFFFF"/>
              </w:rPr>
              <w:t>AND</w:t>
            </w:r>
          </w:p>
          <w:p w14:paraId="6B7C05AF" w14:textId="361B4205" w:rsidR="00A40D1F" w:rsidRPr="00646FC7" w:rsidRDefault="00B32D7C" w:rsidP="00B32D7C">
            <w:pPr>
              <w:rPr>
                <w:rFonts w:ascii="Garamond" w:hAnsi="Garamond"/>
                <w:shd w:val="clear" w:color="auto" w:fill="FFFFFF"/>
              </w:rPr>
            </w:pPr>
            <w:r w:rsidRPr="00937A53">
              <w:rPr>
                <w:rFonts w:ascii="Garamond" w:hAnsi="Garamond"/>
                <w:i/>
              </w:rPr>
              <w:t>S</w:t>
            </w:r>
            <w:r w:rsidRPr="00937A53">
              <w:rPr>
                <w:rFonts w:ascii="Garamond" w:hAnsi="Garamond"/>
                <w:shd w:val="clear" w:color="auto" w:fill="FFFFFF"/>
              </w:rPr>
              <w:t>chools score a 1/Emerging on Item B-II (Continuous Improvement) from the Data Literacy Outcome Rubric</w:t>
            </w:r>
          </w:p>
        </w:tc>
        <w:tc>
          <w:tcPr>
            <w:tcW w:w="2626" w:type="dxa"/>
          </w:tcPr>
          <w:p w14:paraId="0414B6A4" w14:textId="77777777" w:rsidR="007E18FF" w:rsidRPr="00937A53" w:rsidRDefault="007E18FF" w:rsidP="00587482">
            <w:pPr>
              <w:rPr>
                <w:rFonts w:ascii="Garamond" w:hAnsi="Garamond"/>
              </w:rPr>
            </w:pPr>
          </w:p>
        </w:tc>
        <w:tc>
          <w:tcPr>
            <w:tcW w:w="2816" w:type="dxa"/>
          </w:tcPr>
          <w:p w14:paraId="0FD54DC6" w14:textId="77777777" w:rsidR="0084339D" w:rsidRPr="00937A53" w:rsidRDefault="0084339D" w:rsidP="0084339D">
            <w:pPr>
              <w:rPr>
                <w:rFonts w:ascii="Garamond" w:hAnsi="Garamond"/>
                <w:shd w:val="clear" w:color="auto" w:fill="FFFFFF"/>
              </w:rPr>
            </w:pPr>
            <w:r w:rsidRPr="00937A53">
              <w:rPr>
                <w:rFonts w:ascii="Garamond" w:hAnsi="Garamond"/>
                <w:shd w:val="clear" w:color="auto" w:fill="FFFFFF"/>
              </w:rPr>
              <w:t>Schools score a 3/Optimizing on Item B-I (Goal Setting and Action Planning) from the Data Literacy Outcome Rubric </w:t>
            </w:r>
          </w:p>
          <w:p w14:paraId="05155A35" w14:textId="77777777" w:rsidR="0084339D" w:rsidRPr="00937A53" w:rsidRDefault="0084339D" w:rsidP="0084339D">
            <w:pPr>
              <w:rPr>
                <w:rFonts w:ascii="Garamond" w:hAnsi="Garamond"/>
                <w:b/>
                <w:shd w:val="clear" w:color="auto" w:fill="FFFFFF"/>
              </w:rPr>
            </w:pPr>
            <w:r w:rsidRPr="00937A53">
              <w:rPr>
                <w:rFonts w:ascii="Garamond" w:hAnsi="Garamond"/>
                <w:b/>
                <w:shd w:val="clear" w:color="auto" w:fill="FFFFFF"/>
              </w:rPr>
              <w:t>AND</w:t>
            </w:r>
          </w:p>
          <w:p w14:paraId="0FF2E89D" w14:textId="1F325C5A" w:rsidR="007E18FF" w:rsidRPr="00937A53" w:rsidRDefault="0084339D" w:rsidP="0084339D">
            <w:pPr>
              <w:rPr>
                <w:rFonts w:ascii="Garamond" w:hAnsi="Garamond"/>
              </w:rPr>
            </w:pPr>
            <w:r w:rsidRPr="00937A53">
              <w:rPr>
                <w:rFonts w:ascii="Garamond" w:hAnsi="Garamond"/>
                <w:i/>
              </w:rPr>
              <w:t>S</w:t>
            </w:r>
            <w:r w:rsidRPr="00937A53">
              <w:rPr>
                <w:rFonts w:ascii="Garamond" w:hAnsi="Garamond"/>
                <w:shd w:val="clear" w:color="auto" w:fill="FFFFFF"/>
              </w:rPr>
              <w:t>chools score a 2/Operationalizing on Item B-II (Continuous Improvement) from the Data Literacy Outcome Rubric</w:t>
            </w:r>
          </w:p>
        </w:tc>
      </w:tr>
      <w:tr w:rsidR="00092FDF" w:rsidRPr="00E54EE3" w14:paraId="401DE2B0" w14:textId="77777777" w:rsidTr="002B35A8">
        <w:tc>
          <w:tcPr>
            <w:tcW w:w="1530" w:type="dxa"/>
            <w:gridSpan w:val="2"/>
            <w:vMerge w:val="restart"/>
          </w:tcPr>
          <w:p w14:paraId="6C56ADF9" w14:textId="77777777" w:rsidR="007E18FF" w:rsidRPr="00E54EE3" w:rsidRDefault="007E18FF" w:rsidP="00587482">
            <w:pPr>
              <w:rPr>
                <w:rFonts w:ascii="Gill Sans MT" w:hAnsi="Gill Sans MT"/>
                <w:sz w:val="24"/>
                <w:szCs w:val="24"/>
              </w:rPr>
            </w:pPr>
            <w:r w:rsidRPr="00E54EE3">
              <w:rPr>
                <w:rFonts w:ascii="Gill Sans MT" w:hAnsi="Gill Sans MT"/>
                <w:sz w:val="24"/>
                <w:szCs w:val="24"/>
              </w:rPr>
              <w:t>Access</w:t>
            </w:r>
          </w:p>
          <w:p w14:paraId="4AAC2FD9" w14:textId="758AE3EB" w:rsidR="007E18FF" w:rsidRPr="00E54EE3" w:rsidRDefault="007E18FF" w:rsidP="00587482">
            <w:pPr>
              <w:rPr>
                <w:rFonts w:ascii="Gill Sans MT" w:hAnsi="Gill Sans MT"/>
                <w:sz w:val="24"/>
                <w:szCs w:val="24"/>
              </w:rPr>
            </w:pPr>
          </w:p>
        </w:tc>
        <w:tc>
          <w:tcPr>
            <w:tcW w:w="2626" w:type="dxa"/>
          </w:tcPr>
          <w:p w14:paraId="7E378499" w14:textId="1414F9B7" w:rsidR="007E18FF" w:rsidRPr="00937A53" w:rsidRDefault="007E18FF" w:rsidP="00587482">
            <w:pPr>
              <w:rPr>
                <w:rFonts w:ascii="Garamond" w:hAnsi="Garamond"/>
              </w:rPr>
            </w:pPr>
            <w:r w:rsidRPr="00937A53">
              <w:rPr>
                <w:rFonts w:ascii="Garamond" w:hAnsi="Garamond"/>
              </w:rPr>
              <w:t xml:space="preserve">3A. </w:t>
            </w:r>
            <w:r w:rsidRPr="00937A53">
              <w:rPr>
                <w:rFonts w:ascii="Garamond" w:hAnsi="Garamond"/>
                <w:shd w:val="clear" w:color="auto" w:fill="FFFFFF"/>
              </w:rPr>
              <w:t>All students have access to grade level core instruction</w:t>
            </w:r>
            <w:r w:rsidRPr="00937A53">
              <w:rPr>
                <w:rFonts w:ascii="Garamond" w:hAnsi="Garamond"/>
                <w:strike/>
                <w:shd w:val="clear" w:color="auto" w:fill="FFFFFF"/>
              </w:rPr>
              <w:t xml:space="preserve">. </w:t>
            </w:r>
            <w:r w:rsidRPr="00937A53">
              <w:rPr>
                <w:rFonts w:ascii="Garamond" w:hAnsi="Garamond"/>
                <w:shd w:val="clear" w:color="auto" w:fill="FFFFFF"/>
              </w:rPr>
              <w:t xml:space="preserve"> </w:t>
            </w:r>
          </w:p>
          <w:p w14:paraId="4AB47711" w14:textId="45663CCE" w:rsidR="007E18FF" w:rsidRPr="00937A53" w:rsidRDefault="007E18FF" w:rsidP="00587482">
            <w:pPr>
              <w:rPr>
                <w:rFonts w:ascii="Garamond" w:hAnsi="Garamond"/>
              </w:rPr>
            </w:pPr>
          </w:p>
        </w:tc>
        <w:tc>
          <w:tcPr>
            <w:tcW w:w="2626" w:type="dxa"/>
          </w:tcPr>
          <w:p w14:paraId="593B43DB" w14:textId="61C18F37" w:rsidR="007E18FF" w:rsidRPr="00937A53" w:rsidRDefault="00031D3B" w:rsidP="00031D3B">
            <w:pPr>
              <w:rPr>
                <w:rFonts w:ascii="Garamond" w:hAnsi="Garamond"/>
              </w:rPr>
            </w:pPr>
            <w:r w:rsidRPr="00937A53">
              <w:rPr>
                <w:rFonts w:ascii="Garamond" w:hAnsi="Garamond"/>
              </w:rPr>
              <w:t xml:space="preserve">1. </w:t>
            </w:r>
            <w:r w:rsidR="001863C0" w:rsidRPr="00937A53">
              <w:rPr>
                <w:rFonts w:ascii="Garamond" w:hAnsi="Garamond"/>
              </w:rPr>
              <w:t xml:space="preserve">100% of schools will know the number of students staffed and exited from Special education </w:t>
            </w:r>
            <w:r w:rsidR="001863C0" w:rsidRPr="00937A53">
              <w:rPr>
                <w:rFonts w:ascii="Garamond" w:hAnsi="Garamond"/>
              </w:rPr>
              <w:lastRenderedPageBreak/>
              <w:t>programming and set a goal.</w:t>
            </w:r>
            <w:r w:rsidR="009D7353">
              <w:rPr>
                <w:rFonts w:ascii="Garamond" w:hAnsi="Garamond"/>
              </w:rPr>
              <w:br/>
            </w:r>
          </w:p>
          <w:p w14:paraId="08489BD9" w14:textId="4B0350B0" w:rsidR="001863C0" w:rsidRPr="00937A53" w:rsidRDefault="001863C0" w:rsidP="00C36AF9">
            <w:pPr>
              <w:rPr>
                <w:rFonts w:ascii="Garamond" w:hAnsi="Garamond"/>
              </w:rPr>
            </w:pPr>
          </w:p>
        </w:tc>
        <w:tc>
          <w:tcPr>
            <w:tcW w:w="2626" w:type="dxa"/>
          </w:tcPr>
          <w:p w14:paraId="648F910C" w14:textId="7C42E14F" w:rsidR="007E18FF" w:rsidRPr="00937A53" w:rsidRDefault="007E18FF" w:rsidP="00587482">
            <w:pPr>
              <w:rPr>
                <w:rFonts w:ascii="Garamond" w:hAnsi="Garamond"/>
              </w:rPr>
            </w:pPr>
          </w:p>
        </w:tc>
        <w:tc>
          <w:tcPr>
            <w:tcW w:w="2626" w:type="dxa"/>
          </w:tcPr>
          <w:p w14:paraId="3C398D9A" w14:textId="2D1E5CC1" w:rsidR="001863C0" w:rsidRPr="00937A53" w:rsidRDefault="001863C0" w:rsidP="001863C0">
            <w:pPr>
              <w:rPr>
                <w:rFonts w:ascii="Garamond" w:hAnsi="Garamond"/>
              </w:rPr>
            </w:pPr>
          </w:p>
          <w:p w14:paraId="4D781724" w14:textId="77777777" w:rsidR="007E18FF" w:rsidRPr="00937A53" w:rsidRDefault="007E18FF" w:rsidP="00587482">
            <w:pPr>
              <w:rPr>
                <w:rFonts w:ascii="Garamond" w:hAnsi="Garamond"/>
              </w:rPr>
            </w:pPr>
          </w:p>
        </w:tc>
        <w:tc>
          <w:tcPr>
            <w:tcW w:w="2816" w:type="dxa"/>
          </w:tcPr>
          <w:p w14:paraId="72BC628E" w14:textId="4054E8C9" w:rsidR="007E18FF" w:rsidRPr="00937A53" w:rsidRDefault="00DD0995" w:rsidP="001863C0">
            <w:pPr>
              <w:rPr>
                <w:rFonts w:ascii="Garamond" w:hAnsi="Garamond"/>
              </w:rPr>
            </w:pPr>
            <w:r w:rsidRPr="00937A53">
              <w:rPr>
                <w:rFonts w:ascii="Garamond" w:hAnsi="Garamond"/>
              </w:rPr>
              <w:t xml:space="preserve">1. </w:t>
            </w:r>
            <w:r w:rsidR="001863C0" w:rsidRPr="00937A53">
              <w:rPr>
                <w:rFonts w:ascii="Garamond" w:hAnsi="Garamond"/>
              </w:rPr>
              <w:t xml:space="preserve">100% of schools will meet the goal for reducing the number of students staffed into and increasing the </w:t>
            </w:r>
            <w:r w:rsidR="001863C0" w:rsidRPr="00937A53">
              <w:rPr>
                <w:rFonts w:ascii="Garamond" w:hAnsi="Garamond"/>
              </w:rPr>
              <w:lastRenderedPageBreak/>
              <w:t>number of students exited from Special education programming</w:t>
            </w:r>
            <w:r w:rsidR="009D7353">
              <w:rPr>
                <w:rFonts w:ascii="Garamond" w:hAnsi="Garamond"/>
              </w:rPr>
              <w:br/>
            </w:r>
          </w:p>
        </w:tc>
      </w:tr>
      <w:tr w:rsidR="00092FDF" w:rsidRPr="00E54EE3" w14:paraId="73CD024F" w14:textId="77777777" w:rsidTr="002B35A8">
        <w:tc>
          <w:tcPr>
            <w:tcW w:w="1530" w:type="dxa"/>
            <w:gridSpan w:val="2"/>
            <w:vMerge/>
          </w:tcPr>
          <w:p w14:paraId="3A436A24" w14:textId="77777777" w:rsidR="007E18FF" w:rsidRPr="00E54EE3" w:rsidRDefault="007E18FF" w:rsidP="00587482">
            <w:pPr>
              <w:rPr>
                <w:rFonts w:ascii="Gill Sans MT" w:hAnsi="Gill Sans MT"/>
                <w:sz w:val="24"/>
                <w:szCs w:val="24"/>
              </w:rPr>
            </w:pPr>
          </w:p>
        </w:tc>
        <w:tc>
          <w:tcPr>
            <w:tcW w:w="2626" w:type="dxa"/>
          </w:tcPr>
          <w:p w14:paraId="2A3D1148" w14:textId="77777777" w:rsidR="007E18FF" w:rsidRPr="00937A53" w:rsidRDefault="007E18FF" w:rsidP="00587482">
            <w:pPr>
              <w:rPr>
                <w:rFonts w:ascii="Garamond" w:hAnsi="Garamond"/>
              </w:rPr>
            </w:pPr>
            <w:r w:rsidRPr="00937A53">
              <w:rPr>
                <w:rFonts w:ascii="Garamond" w:hAnsi="Garamond"/>
              </w:rPr>
              <w:t>3B.  All Students have equitable access to meaningful learning and opportunities to demonstrate understanding</w:t>
            </w:r>
          </w:p>
          <w:p w14:paraId="474BC3EA" w14:textId="63861769" w:rsidR="007E18FF" w:rsidRPr="00937A53" w:rsidRDefault="007E18FF" w:rsidP="00587482">
            <w:pPr>
              <w:rPr>
                <w:rFonts w:ascii="Garamond" w:hAnsi="Garamond"/>
              </w:rPr>
            </w:pPr>
          </w:p>
        </w:tc>
        <w:tc>
          <w:tcPr>
            <w:tcW w:w="2626" w:type="dxa"/>
          </w:tcPr>
          <w:p w14:paraId="26031D6B" w14:textId="6BF6FC42" w:rsidR="007E18FF" w:rsidRPr="00937A53" w:rsidRDefault="007E18FF" w:rsidP="00587482">
            <w:pPr>
              <w:rPr>
                <w:rFonts w:ascii="Garamond" w:hAnsi="Garamond"/>
              </w:rPr>
            </w:pPr>
            <w:r w:rsidRPr="00937A53">
              <w:rPr>
                <w:rFonts w:ascii="Garamond" w:hAnsi="Garamond"/>
              </w:rPr>
              <w:t xml:space="preserve">60% of IM Walkthrough responses for C2.2 </w:t>
            </w:r>
            <w:r w:rsidR="00E95304" w:rsidRPr="00F63CB7">
              <w:rPr>
                <w:rFonts w:ascii="Garamond" w:hAnsi="Garamond"/>
              </w:rPr>
              <w:t xml:space="preserve">(Equitable Access) </w:t>
            </w:r>
            <w:r w:rsidRPr="00937A53">
              <w:rPr>
                <w:rFonts w:ascii="Garamond" w:hAnsi="Garamond"/>
              </w:rPr>
              <w:t xml:space="preserve">is “Implementing” or “Integrating” in the 45 days leading up to the </w:t>
            </w:r>
            <w:r w:rsidR="00E95304" w:rsidRPr="00F63CB7">
              <w:rPr>
                <w:rFonts w:ascii="Garamond" w:hAnsi="Garamond"/>
              </w:rPr>
              <w:t xml:space="preserve">walkthrough </w:t>
            </w:r>
            <w:r w:rsidR="00E95304" w:rsidRPr="00F63CB7">
              <w:rPr>
                <w:rFonts w:ascii="Garamond" w:hAnsi="Garamond"/>
              </w:rPr>
              <w:br/>
              <w:t>(Component of 1B)</w:t>
            </w:r>
          </w:p>
          <w:p w14:paraId="40A7C3DF" w14:textId="5B198F4F" w:rsidR="007E18FF" w:rsidRPr="00937A53" w:rsidRDefault="007E18FF" w:rsidP="00587482">
            <w:pPr>
              <w:rPr>
                <w:rFonts w:ascii="Garamond" w:hAnsi="Garamond"/>
              </w:rPr>
            </w:pPr>
          </w:p>
        </w:tc>
        <w:tc>
          <w:tcPr>
            <w:tcW w:w="2626" w:type="dxa"/>
          </w:tcPr>
          <w:p w14:paraId="63989ED6" w14:textId="3FDEE4E6" w:rsidR="007E18FF" w:rsidRPr="00937A53" w:rsidRDefault="007E18FF" w:rsidP="00BA6257">
            <w:pPr>
              <w:rPr>
                <w:rFonts w:ascii="Garamond" w:hAnsi="Garamond"/>
              </w:rPr>
            </w:pPr>
            <w:r w:rsidRPr="00937A53">
              <w:rPr>
                <w:rFonts w:ascii="Garamond" w:hAnsi="Garamond"/>
              </w:rPr>
              <w:t xml:space="preserve">70% of IM Walkthrough responses for C2.2 </w:t>
            </w:r>
            <w:r w:rsidR="00E95304" w:rsidRPr="00F63CB7">
              <w:rPr>
                <w:rFonts w:ascii="Garamond" w:hAnsi="Garamond"/>
              </w:rPr>
              <w:t xml:space="preserve">(Equitable Access) </w:t>
            </w:r>
            <w:r w:rsidRPr="00937A53">
              <w:rPr>
                <w:rFonts w:ascii="Garamond" w:hAnsi="Garamond"/>
              </w:rPr>
              <w:t xml:space="preserve">is “Implementing” or “Integrating” in the 45 days leading up to the </w:t>
            </w:r>
            <w:r w:rsidR="00E95304" w:rsidRPr="00F63CB7">
              <w:rPr>
                <w:rFonts w:ascii="Garamond" w:hAnsi="Garamond"/>
              </w:rPr>
              <w:t xml:space="preserve">walkthrough </w:t>
            </w:r>
            <w:r w:rsidR="00E95304" w:rsidRPr="00F63CB7">
              <w:rPr>
                <w:rFonts w:ascii="Garamond" w:hAnsi="Garamond"/>
              </w:rPr>
              <w:br/>
              <w:t>(Component of 1B)</w:t>
            </w:r>
          </w:p>
          <w:p w14:paraId="15F7453B" w14:textId="77777777" w:rsidR="007E18FF" w:rsidRPr="00937A53" w:rsidRDefault="007E18FF" w:rsidP="00587482">
            <w:pPr>
              <w:rPr>
                <w:rFonts w:ascii="Garamond" w:hAnsi="Garamond"/>
              </w:rPr>
            </w:pPr>
          </w:p>
          <w:p w14:paraId="7F121002" w14:textId="0D0DC116" w:rsidR="007E18FF" w:rsidRPr="00937A53" w:rsidRDefault="007E18FF" w:rsidP="00587482">
            <w:pPr>
              <w:rPr>
                <w:rFonts w:ascii="Garamond" w:hAnsi="Garamond"/>
              </w:rPr>
            </w:pPr>
          </w:p>
        </w:tc>
        <w:tc>
          <w:tcPr>
            <w:tcW w:w="2626" w:type="dxa"/>
          </w:tcPr>
          <w:p w14:paraId="37DBF18F" w14:textId="3EAE40F9" w:rsidR="007E18FF" w:rsidRPr="00937A53" w:rsidRDefault="00D1416A" w:rsidP="00BA6257">
            <w:pPr>
              <w:rPr>
                <w:rFonts w:ascii="Garamond" w:hAnsi="Garamond"/>
              </w:rPr>
            </w:pPr>
            <w:r>
              <w:rPr>
                <w:rFonts w:ascii="Garamond" w:hAnsi="Garamond"/>
              </w:rPr>
              <w:t xml:space="preserve">75% </w:t>
            </w:r>
            <w:r w:rsidR="00E95304" w:rsidRPr="00F63CB7">
              <w:rPr>
                <w:rFonts w:ascii="Garamond" w:hAnsi="Garamond"/>
              </w:rPr>
              <w:t xml:space="preserve">of IM Walkthrough responses for C2.2 (Equitable Access) is “Implementing” or “Integrating” in the 45 days leading up to the walkthrough </w:t>
            </w:r>
            <w:r w:rsidR="00E95304" w:rsidRPr="00F63CB7">
              <w:rPr>
                <w:rFonts w:ascii="Garamond" w:hAnsi="Garamond"/>
              </w:rPr>
              <w:br/>
              <w:t>(Component of 1B)</w:t>
            </w:r>
          </w:p>
        </w:tc>
        <w:tc>
          <w:tcPr>
            <w:tcW w:w="2816" w:type="dxa"/>
          </w:tcPr>
          <w:p w14:paraId="46283EFF" w14:textId="56662D4B" w:rsidR="007E18FF" w:rsidRPr="00937A53" w:rsidRDefault="007E18FF" w:rsidP="00BA6257">
            <w:pPr>
              <w:rPr>
                <w:rFonts w:ascii="Garamond" w:hAnsi="Garamond"/>
              </w:rPr>
            </w:pPr>
            <w:r w:rsidRPr="00937A53">
              <w:rPr>
                <w:rFonts w:ascii="Garamond" w:hAnsi="Garamond"/>
              </w:rPr>
              <w:t xml:space="preserve">80% of </w:t>
            </w:r>
            <w:r w:rsidR="00E95304" w:rsidRPr="00F63CB7">
              <w:rPr>
                <w:rFonts w:ascii="Garamond" w:hAnsi="Garamond"/>
              </w:rPr>
              <w:t xml:space="preserve">of </w:t>
            </w:r>
            <w:r w:rsidRPr="00937A53">
              <w:rPr>
                <w:rFonts w:ascii="Garamond" w:hAnsi="Garamond"/>
              </w:rPr>
              <w:t xml:space="preserve">IM Walkthrough responses for C2.2 </w:t>
            </w:r>
            <w:r w:rsidR="00E95304" w:rsidRPr="00F63CB7">
              <w:rPr>
                <w:rFonts w:ascii="Garamond" w:hAnsi="Garamond"/>
              </w:rPr>
              <w:t xml:space="preserve">(Equitable Access) </w:t>
            </w:r>
            <w:r w:rsidRPr="00937A53">
              <w:rPr>
                <w:rFonts w:ascii="Garamond" w:hAnsi="Garamond"/>
              </w:rPr>
              <w:t xml:space="preserve">is “Implementing” or “Integrating” in the 45 days leading up to the </w:t>
            </w:r>
            <w:r w:rsidR="00E95304" w:rsidRPr="00F63CB7">
              <w:rPr>
                <w:rFonts w:ascii="Garamond" w:hAnsi="Garamond"/>
              </w:rPr>
              <w:t xml:space="preserve">walkthrough </w:t>
            </w:r>
            <w:r w:rsidR="00E95304" w:rsidRPr="00F63CB7">
              <w:rPr>
                <w:rFonts w:ascii="Garamond" w:hAnsi="Garamond"/>
              </w:rPr>
              <w:br/>
              <w:t>(Component of 1B)</w:t>
            </w:r>
          </w:p>
          <w:p w14:paraId="72FD204C" w14:textId="51617A58" w:rsidR="007E18FF" w:rsidRPr="00937A53" w:rsidRDefault="007E18FF" w:rsidP="00587482">
            <w:pPr>
              <w:rPr>
                <w:rFonts w:ascii="Garamond" w:hAnsi="Garamond"/>
              </w:rPr>
            </w:pPr>
          </w:p>
        </w:tc>
      </w:tr>
      <w:tr w:rsidR="00092FDF" w:rsidRPr="00E54EE3" w14:paraId="098379BC" w14:textId="77777777" w:rsidTr="002B35A8">
        <w:tc>
          <w:tcPr>
            <w:tcW w:w="1530" w:type="dxa"/>
            <w:gridSpan w:val="2"/>
          </w:tcPr>
          <w:p w14:paraId="1374976B" w14:textId="77777777" w:rsidR="007E18FF" w:rsidRPr="00E54EE3" w:rsidRDefault="007E18FF" w:rsidP="00587482">
            <w:pPr>
              <w:rPr>
                <w:rFonts w:ascii="Gill Sans MT" w:hAnsi="Gill Sans MT"/>
                <w:sz w:val="24"/>
                <w:szCs w:val="24"/>
              </w:rPr>
            </w:pPr>
            <w:r w:rsidRPr="00E54EE3">
              <w:rPr>
                <w:rFonts w:ascii="Gill Sans MT" w:hAnsi="Gill Sans MT"/>
                <w:sz w:val="24"/>
                <w:szCs w:val="24"/>
              </w:rPr>
              <w:t>SEL</w:t>
            </w:r>
          </w:p>
          <w:p w14:paraId="558E5294" w14:textId="7AE19DA3" w:rsidR="007E18FF" w:rsidRPr="00E54EE3" w:rsidRDefault="007E18FF" w:rsidP="00587482">
            <w:pPr>
              <w:rPr>
                <w:rFonts w:ascii="Gill Sans MT" w:hAnsi="Gill Sans MT"/>
                <w:sz w:val="24"/>
                <w:szCs w:val="24"/>
              </w:rPr>
            </w:pPr>
          </w:p>
        </w:tc>
        <w:tc>
          <w:tcPr>
            <w:tcW w:w="2626" w:type="dxa"/>
          </w:tcPr>
          <w:p w14:paraId="5002CD09" w14:textId="46F6A860" w:rsidR="007E18FF" w:rsidRPr="00937A53" w:rsidRDefault="007E18FF" w:rsidP="00587482">
            <w:pPr>
              <w:rPr>
                <w:rFonts w:ascii="Garamond" w:hAnsi="Garamond"/>
              </w:rPr>
            </w:pPr>
            <w:r w:rsidRPr="00937A53">
              <w:rPr>
                <w:rFonts w:ascii="Garamond" w:hAnsi="Garamond"/>
                <w:shd w:val="clear" w:color="auto" w:fill="FFFFFF"/>
              </w:rPr>
              <w:t>4. All schools implement transformative SEL</w:t>
            </w:r>
          </w:p>
        </w:tc>
        <w:tc>
          <w:tcPr>
            <w:tcW w:w="2626" w:type="dxa"/>
          </w:tcPr>
          <w:p w14:paraId="1680A0DF" w14:textId="0F08CE7B" w:rsidR="007E18FF" w:rsidRPr="00937A53" w:rsidRDefault="007E18FF" w:rsidP="00587482">
            <w:pPr>
              <w:rPr>
                <w:rFonts w:ascii="Garamond" w:hAnsi="Garamond"/>
              </w:rPr>
            </w:pPr>
            <w:r w:rsidRPr="00937A53">
              <w:rPr>
                <w:rFonts w:ascii="Garamond" w:hAnsi="Garamond"/>
              </w:rPr>
              <w:t>Phase 1 schools will score themselves as at least “Developing” on 30% (3 items) of the items on the SEL School Inventory</w:t>
            </w:r>
          </w:p>
        </w:tc>
        <w:tc>
          <w:tcPr>
            <w:tcW w:w="2626" w:type="dxa"/>
          </w:tcPr>
          <w:p w14:paraId="22311E71" w14:textId="5BEBE5AD" w:rsidR="007E18FF" w:rsidRPr="00937A53" w:rsidRDefault="007E18FF" w:rsidP="004B20CB">
            <w:pPr>
              <w:rPr>
                <w:rFonts w:ascii="Garamond" w:hAnsi="Garamond"/>
              </w:rPr>
            </w:pPr>
            <w:r w:rsidRPr="00937A53">
              <w:rPr>
                <w:rFonts w:ascii="Garamond" w:hAnsi="Garamond"/>
              </w:rPr>
              <w:t>Phase 1 schools will score themselves as at least “Developing” on 60% (6 items) of the items on the SEL School Inventory</w:t>
            </w:r>
          </w:p>
          <w:p w14:paraId="5FA8533E" w14:textId="77777777" w:rsidR="007E18FF" w:rsidRPr="00937A53" w:rsidRDefault="007E18FF" w:rsidP="00587482">
            <w:pPr>
              <w:rPr>
                <w:rFonts w:ascii="Garamond" w:hAnsi="Garamond"/>
              </w:rPr>
            </w:pPr>
          </w:p>
        </w:tc>
        <w:tc>
          <w:tcPr>
            <w:tcW w:w="2626" w:type="dxa"/>
          </w:tcPr>
          <w:p w14:paraId="3A0486FE" w14:textId="2131AE09" w:rsidR="007E18FF" w:rsidRPr="00937A53" w:rsidRDefault="00E65CCE" w:rsidP="00587482">
            <w:pPr>
              <w:rPr>
                <w:rFonts w:ascii="Garamond" w:hAnsi="Garamond"/>
              </w:rPr>
            </w:pPr>
            <w:r w:rsidRPr="00937A53">
              <w:rPr>
                <w:rFonts w:ascii="Garamond" w:hAnsi="Garamond"/>
              </w:rPr>
              <w:t>Phase 1 schools score themselves as at least “Developing” on 80% (8 items) of the items on the SEL School Inventory</w:t>
            </w:r>
          </w:p>
        </w:tc>
        <w:tc>
          <w:tcPr>
            <w:tcW w:w="2816" w:type="dxa"/>
          </w:tcPr>
          <w:p w14:paraId="578E4F42" w14:textId="55B5C99E" w:rsidR="007E18FF" w:rsidRPr="00937A53" w:rsidRDefault="007E18FF" w:rsidP="00587482">
            <w:pPr>
              <w:rPr>
                <w:rFonts w:ascii="Garamond" w:hAnsi="Garamond"/>
              </w:rPr>
            </w:pPr>
            <w:r w:rsidRPr="00937A53">
              <w:rPr>
                <w:rFonts w:ascii="Garamond" w:hAnsi="Garamond"/>
              </w:rPr>
              <w:t>Phase 1 schools will score themselves as at least “Developing” on 100% (10 items) of the items on the SEL School Inventory</w:t>
            </w:r>
          </w:p>
        </w:tc>
      </w:tr>
      <w:tr w:rsidR="00CA65CC" w:rsidRPr="00E54EE3" w14:paraId="285FE0DD" w14:textId="77777777" w:rsidTr="002B35A8">
        <w:tc>
          <w:tcPr>
            <w:tcW w:w="1530" w:type="dxa"/>
            <w:gridSpan w:val="2"/>
            <w:vMerge w:val="restart"/>
          </w:tcPr>
          <w:p w14:paraId="26DC588E" w14:textId="77777777" w:rsidR="00CA65CC" w:rsidRPr="00E54EE3" w:rsidRDefault="00CA65CC" w:rsidP="00D967A9">
            <w:pPr>
              <w:rPr>
                <w:rFonts w:ascii="Gill Sans MT" w:hAnsi="Gill Sans MT"/>
                <w:sz w:val="24"/>
                <w:szCs w:val="24"/>
              </w:rPr>
            </w:pPr>
            <w:r w:rsidRPr="00E54EE3">
              <w:rPr>
                <w:rFonts w:ascii="Gill Sans MT" w:hAnsi="Gill Sans MT"/>
                <w:sz w:val="24"/>
                <w:szCs w:val="24"/>
              </w:rPr>
              <w:t>Health and Wellbeing</w:t>
            </w:r>
          </w:p>
          <w:p w14:paraId="5A01FADA" w14:textId="0D057EC1" w:rsidR="00CA65CC" w:rsidRPr="00E54EE3" w:rsidRDefault="00CA65CC" w:rsidP="00D967A9">
            <w:pPr>
              <w:rPr>
                <w:rFonts w:ascii="Gill Sans MT" w:hAnsi="Gill Sans MT"/>
                <w:sz w:val="24"/>
                <w:szCs w:val="24"/>
              </w:rPr>
            </w:pPr>
          </w:p>
        </w:tc>
        <w:tc>
          <w:tcPr>
            <w:tcW w:w="2626" w:type="dxa"/>
            <w:vMerge w:val="restart"/>
          </w:tcPr>
          <w:p w14:paraId="09D76A8C" w14:textId="77777777" w:rsidR="00CA65CC" w:rsidRPr="00937A53" w:rsidRDefault="00CA65CC" w:rsidP="00D967A9">
            <w:pPr>
              <w:rPr>
                <w:rFonts w:ascii="Garamond" w:hAnsi="Garamond"/>
              </w:rPr>
            </w:pPr>
            <w:r w:rsidRPr="00937A53">
              <w:rPr>
                <w:rFonts w:ascii="Garamond" w:hAnsi="Garamond"/>
              </w:rPr>
              <w:t>5. All students and families have access to healthy food, health services, and supportive services through internal and external partnerships and programs</w:t>
            </w:r>
          </w:p>
          <w:p w14:paraId="19016F2A" w14:textId="2C2374FB" w:rsidR="00CA65CC" w:rsidRPr="00937A53" w:rsidRDefault="00CA65CC" w:rsidP="00D967A9">
            <w:pPr>
              <w:rPr>
                <w:rFonts w:ascii="Garamond" w:hAnsi="Garamond"/>
              </w:rPr>
            </w:pPr>
          </w:p>
        </w:tc>
        <w:tc>
          <w:tcPr>
            <w:tcW w:w="2626" w:type="dxa"/>
            <w:vMerge w:val="restart"/>
          </w:tcPr>
          <w:p w14:paraId="250CF864" w14:textId="6AAFF574" w:rsidR="00CA65CC" w:rsidRPr="00937A53" w:rsidRDefault="00CA65CC" w:rsidP="00341F18">
            <w:pPr>
              <w:rPr>
                <w:rStyle w:val="SubtleEmphasis"/>
                <w:rFonts w:ascii="Garamond" w:hAnsi="Garamond"/>
                <w:i w:val="0"/>
              </w:rPr>
            </w:pPr>
            <w:r w:rsidRPr="00937A53">
              <w:rPr>
                <w:rFonts w:ascii="Garamond" w:hAnsi="Garamond"/>
                <w:shd w:val="clear" w:color="auto" w:fill="FFFFFF"/>
              </w:rPr>
              <w:t>1. Schools will have an average "closed ticket" response time of less than three days, based on data from the Student Support Form in the quarter leading up to the October meeting. </w:t>
            </w:r>
          </w:p>
          <w:p w14:paraId="0BF2FB41" w14:textId="77777777" w:rsidR="00CA65CC" w:rsidRDefault="00CA65CC" w:rsidP="00D967A9">
            <w:pPr>
              <w:rPr>
                <w:rFonts w:ascii="Garamond" w:hAnsi="Garamond"/>
                <w:shd w:val="clear" w:color="auto" w:fill="FFFFFF"/>
              </w:rPr>
            </w:pPr>
          </w:p>
          <w:p w14:paraId="67125C4C" w14:textId="3485CC14" w:rsidR="00CA65CC" w:rsidRPr="00937A53" w:rsidRDefault="00CA65CC" w:rsidP="00D967A9">
            <w:pPr>
              <w:rPr>
                <w:rFonts w:ascii="Garamond" w:hAnsi="Garamond"/>
              </w:rPr>
            </w:pPr>
            <w:r w:rsidRPr="00937A53">
              <w:rPr>
                <w:rFonts w:ascii="Garamond" w:hAnsi="Garamond"/>
                <w:shd w:val="clear" w:color="auto" w:fill="FFFFFF"/>
              </w:rPr>
              <w:t>2. School leaders are aware of what percent of their students are eating breakfast and lunch</w:t>
            </w:r>
          </w:p>
        </w:tc>
        <w:tc>
          <w:tcPr>
            <w:tcW w:w="2626" w:type="dxa"/>
          </w:tcPr>
          <w:p w14:paraId="466BB8BC" w14:textId="6CFD60FB" w:rsidR="00CA65CC" w:rsidRPr="00937A53" w:rsidRDefault="00CA65CC" w:rsidP="00D967A9">
            <w:pPr>
              <w:rPr>
                <w:rFonts w:ascii="Garamond" w:hAnsi="Garamond"/>
              </w:rPr>
            </w:pPr>
            <w:r w:rsidRPr="00937A53">
              <w:rPr>
                <w:rFonts w:ascii="Garamond" w:hAnsi="Garamond"/>
              </w:rPr>
              <w:t>Schools</w:t>
            </w:r>
            <w:r w:rsidRPr="00937A53">
              <w:rPr>
                <w:rFonts w:ascii="Garamond" w:hAnsi="Garamond"/>
                <w:shd w:val="clear" w:color="auto" w:fill="FFFFFF"/>
              </w:rPr>
              <w:t xml:space="preserve"> will have average "closed ticket" response time of less than three days, based on data from the Student Support Form in the quarter leading up to the End of the Year meeting. </w:t>
            </w:r>
          </w:p>
        </w:tc>
        <w:tc>
          <w:tcPr>
            <w:tcW w:w="2626" w:type="dxa"/>
          </w:tcPr>
          <w:p w14:paraId="609C73AB" w14:textId="36FF791F" w:rsidR="00CA65CC" w:rsidRPr="00937A53" w:rsidRDefault="00CA65CC" w:rsidP="00D967A9">
            <w:pPr>
              <w:rPr>
                <w:rFonts w:ascii="Garamond" w:hAnsi="Garamond"/>
              </w:rPr>
            </w:pPr>
            <w:r w:rsidRPr="00937A53">
              <w:rPr>
                <w:rFonts w:ascii="Garamond" w:hAnsi="Garamond"/>
              </w:rPr>
              <w:t>Schools</w:t>
            </w:r>
            <w:r w:rsidRPr="00937A53">
              <w:rPr>
                <w:rFonts w:ascii="Garamond" w:hAnsi="Garamond"/>
                <w:shd w:val="clear" w:color="auto" w:fill="FFFFFF"/>
              </w:rPr>
              <w:t xml:space="preserve"> will have average "closed ticket" response time of less than three days, based on data from the Student Support Form in the quarter leading up to the February meeting. </w:t>
            </w:r>
          </w:p>
        </w:tc>
        <w:tc>
          <w:tcPr>
            <w:tcW w:w="2816" w:type="dxa"/>
            <w:vMerge w:val="restart"/>
          </w:tcPr>
          <w:p w14:paraId="5CD88592" w14:textId="310FDDEC" w:rsidR="00CA65CC" w:rsidRPr="00937A53" w:rsidRDefault="00CA65CC" w:rsidP="00D967A9">
            <w:pPr>
              <w:rPr>
                <w:rFonts w:ascii="Garamond" w:hAnsi="Garamond"/>
                <w:shd w:val="clear" w:color="auto" w:fill="FFFFFF"/>
              </w:rPr>
            </w:pPr>
            <w:r w:rsidRPr="00937A53">
              <w:rPr>
                <w:rFonts w:ascii="Garamond" w:hAnsi="Garamond"/>
              </w:rPr>
              <w:t>1. Schools</w:t>
            </w:r>
            <w:r w:rsidRPr="00937A53">
              <w:rPr>
                <w:rFonts w:ascii="Garamond" w:hAnsi="Garamond"/>
                <w:shd w:val="clear" w:color="auto" w:fill="FFFFFF"/>
              </w:rPr>
              <w:t xml:space="preserve"> will have average "closed ticket" response time of less than three days, based on data from the Student Support Form in the quarter leading up to the End of the Year meeting. </w:t>
            </w:r>
          </w:p>
          <w:p w14:paraId="4DAC9A55" w14:textId="77777777" w:rsidR="00CA65CC" w:rsidRDefault="00CA65CC" w:rsidP="00D967A9">
            <w:pPr>
              <w:pStyle w:val="NoSpacing"/>
              <w:rPr>
                <w:rFonts w:ascii="Garamond" w:hAnsi="Garamond"/>
                <w:shd w:val="clear" w:color="auto" w:fill="FFFFFF"/>
              </w:rPr>
            </w:pPr>
          </w:p>
          <w:p w14:paraId="549AE483" w14:textId="77777777" w:rsidR="00A741D5" w:rsidRPr="00DB7A0A" w:rsidRDefault="00A741D5" w:rsidP="00A741D5">
            <w:pPr>
              <w:pStyle w:val="NoSpacing"/>
              <w:rPr>
                <w:rFonts w:ascii="Garamond" w:hAnsi="Garamond"/>
                <w:i/>
                <w:iCs/>
                <w:shd w:val="clear" w:color="auto" w:fill="FFFFFF"/>
              </w:rPr>
            </w:pPr>
            <w:r w:rsidRPr="00DB7A0A">
              <w:rPr>
                <w:rFonts w:ascii="Garamond" w:hAnsi="Garamond"/>
                <w:i/>
                <w:iCs/>
                <w:highlight w:val="lightGray"/>
                <w:shd w:val="clear" w:color="auto" w:fill="FFFFFF"/>
              </w:rPr>
              <w:t>2. Notecatcher discussion on percentage of students eating breakfast and lunch and wellness plan fidelity</w:t>
            </w:r>
          </w:p>
          <w:p w14:paraId="2D9AD811" w14:textId="027BA794" w:rsidR="00CA65CC" w:rsidRPr="00937A53" w:rsidRDefault="00CA65CC" w:rsidP="00D967A9">
            <w:pPr>
              <w:rPr>
                <w:rFonts w:ascii="Garamond" w:hAnsi="Garamond"/>
              </w:rPr>
            </w:pPr>
          </w:p>
        </w:tc>
      </w:tr>
      <w:tr w:rsidR="00CA65CC" w:rsidRPr="00E54EE3" w14:paraId="1BB3022F" w14:textId="77777777" w:rsidTr="002B35A8">
        <w:tc>
          <w:tcPr>
            <w:tcW w:w="1530" w:type="dxa"/>
            <w:gridSpan w:val="2"/>
            <w:vMerge/>
          </w:tcPr>
          <w:p w14:paraId="024039D7" w14:textId="77777777" w:rsidR="00CA65CC" w:rsidRPr="00E54EE3" w:rsidRDefault="00CA65CC" w:rsidP="00D967A9">
            <w:pPr>
              <w:rPr>
                <w:rFonts w:ascii="Gill Sans MT" w:hAnsi="Gill Sans MT"/>
                <w:sz w:val="24"/>
                <w:szCs w:val="24"/>
              </w:rPr>
            </w:pPr>
          </w:p>
        </w:tc>
        <w:tc>
          <w:tcPr>
            <w:tcW w:w="2626" w:type="dxa"/>
            <w:vMerge/>
          </w:tcPr>
          <w:p w14:paraId="74F798B6" w14:textId="77777777" w:rsidR="00CA65CC" w:rsidRPr="00937A53" w:rsidRDefault="00CA65CC" w:rsidP="00D967A9">
            <w:pPr>
              <w:rPr>
                <w:rFonts w:ascii="Garamond" w:hAnsi="Garamond"/>
                <w:shd w:val="clear" w:color="auto" w:fill="FFFFFF"/>
              </w:rPr>
            </w:pPr>
          </w:p>
        </w:tc>
        <w:tc>
          <w:tcPr>
            <w:tcW w:w="2626" w:type="dxa"/>
            <w:vMerge/>
          </w:tcPr>
          <w:p w14:paraId="59AA7362" w14:textId="5F8A86EE" w:rsidR="00CA65CC" w:rsidRPr="00937A53" w:rsidRDefault="00CA65CC" w:rsidP="00D967A9">
            <w:pPr>
              <w:rPr>
                <w:rFonts w:ascii="Garamond" w:hAnsi="Garamond"/>
              </w:rPr>
            </w:pPr>
          </w:p>
        </w:tc>
        <w:tc>
          <w:tcPr>
            <w:tcW w:w="2626" w:type="dxa"/>
          </w:tcPr>
          <w:p w14:paraId="7B194B58" w14:textId="77777777" w:rsidR="00CA65CC" w:rsidRPr="00937A53" w:rsidRDefault="00CA65CC" w:rsidP="00D967A9">
            <w:pPr>
              <w:rPr>
                <w:rFonts w:ascii="Garamond" w:hAnsi="Garamond"/>
              </w:rPr>
            </w:pPr>
          </w:p>
        </w:tc>
        <w:tc>
          <w:tcPr>
            <w:tcW w:w="2626" w:type="dxa"/>
          </w:tcPr>
          <w:p w14:paraId="3C0B78D0" w14:textId="77777777" w:rsidR="00CA65CC" w:rsidRPr="00937A53" w:rsidRDefault="00CA65CC" w:rsidP="00D967A9">
            <w:pPr>
              <w:pStyle w:val="NoSpacing"/>
              <w:rPr>
                <w:rFonts w:ascii="Garamond" w:hAnsi="Garamond"/>
                <w:shd w:val="clear" w:color="auto" w:fill="FFFFFF"/>
              </w:rPr>
            </w:pPr>
          </w:p>
        </w:tc>
        <w:tc>
          <w:tcPr>
            <w:tcW w:w="2816" w:type="dxa"/>
            <w:vMerge/>
          </w:tcPr>
          <w:p w14:paraId="146C5985" w14:textId="77777777" w:rsidR="00CA65CC" w:rsidRPr="00937A53" w:rsidRDefault="00CA65CC" w:rsidP="00D967A9">
            <w:pPr>
              <w:rPr>
                <w:rFonts w:ascii="Garamond" w:hAnsi="Garamond"/>
              </w:rPr>
            </w:pPr>
          </w:p>
        </w:tc>
      </w:tr>
      <w:tr w:rsidR="00092FDF" w:rsidRPr="00E54EE3" w14:paraId="48BDADBA" w14:textId="77777777" w:rsidTr="002B35A8">
        <w:tc>
          <w:tcPr>
            <w:tcW w:w="1530" w:type="dxa"/>
            <w:gridSpan w:val="2"/>
            <w:vMerge w:val="restart"/>
          </w:tcPr>
          <w:p w14:paraId="589B29B2" w14:textId="126F6986" w:rsidR="007E18FF" w:rsidRPr="00E54EE3" w:rsidRDefault="007E18FF" w:rsidP="00D967A9">
            <w:pPr>
              <w:rPr>
                <w:rFonts w:ascii="Gill Sans MT" w:hAnsi="Gill Sans MT"/>
                <w:sz w:val="24"/>
                <w:szCs w:val="24"/>
              </w:rPr>
            </w:pPr>
            <w:r w:rsidRPr="00E54EE3">
              <w:rPr>
                <w:rFonts w:ascii="Gill Sans MT" w:hAnsi="Gill Sans MT"/>
                <w:sz w:val="24"/>
                <w:szCs w:val="24"/>
              </w:rPr>
              <w:t xml:space="preserve">Engagement and </w:t>
            </w:r>
            <w:r w:rsidRPr="00E54EE3">
              <w:rPr>
                <w:rFonts w:ascii="Gill Sans MT" w:hAnsi="Gill Sans MT"/>
                <w:sz w:val="24"/>
                <w:szCs w:val="24"/>
              </w:rPr>
              <w:lastRenderedPageBreak/>
              <w:t>Community Building</w:t>
            </w:r>
          </w:p>
        </w:tc>
        <w:tc>
          <w:tcPr>
            <w:tcW w:w="2626" w:type="dxa"/>
          </w:tcPr>
          <w:p w14:paraId="539B7D1C" w14:textId="4B0157F7" w:rsidR="007E18FF" w:rsidRPr="00937A53" w:rsidRDefault="007E18FF" w:rsidP="00D967A9">
            <w:pPr>
              <w:rPr>
                <w:rFonts w:ascii="Garamond" w:hAnsi="Garamond"/>
                <w:shd w:val="clear" w:color="auto" w:fill="FFFFFF"/>
              </w:rPr>
            </w:pPr>
            <w:r w:rsidRPr="00937A53">
              <w:rPr>
                <w:rFonts w:ascii="Garamond" w:hAnsi="Garamond" w:cs="Arial"/>
                <w:shd w:val="clear" w:color="auto" w:fill="FFFFFF"/>
              </w:rPr>
              <w:lastRenderedPageBreak/>
              <w:t>6A. S</w:t>
            </w:r>
            <w:r w:rsidRPr="00937A53">
              <w:rPr>
                <w:rFonts w:ascii="Garamond" w:hAnsi="Garamond"/>
                <w:shd w:val="clear" w:color="auto" w:fill="FFFFFF"/>
              </w:rPr>
              <w:t xml:space="preserve">chools will utilize a system to access the voices of families, community, </w:t>
            </w:r>
            <w:r w:rsidRPr="00937A53">
              <w:rPr>
                <w:rFonts w:ascii="Garamond" w:hAnsi="Garamond"/>
                <w:shd w:val="clear" w:color="auto" w:fill="FFFFFF"/>
              </w:rPr>
              <w:lastRenderedPageBreak/>
              <w:t>staff, and students that represent their school to build a culture that empowers all and create the space for belonging and a feeling of being valued.</w:t>
            </w:r>
          </w:p>
        </w:tc>
        <w:tc>
          <w:tcPr>
            <w:tcW w:w="2626" w:type="dxa"/>
          </w:tcPr>
          <w:p w14:paraId="1404BE33" w14:textId="4A369774" w:rsidR="007E18FF" w:rsidRPr="00937A53" w:rsidRDefault="00F65723" w:rsidP="00C90B5A">
            <w:pPr>
              <w:rPr>
                <w:rFonts w:ascii="Garamond" w:hAnsi="Garamond"/>
              </w:rPr>
            </w:pPr>
            <w:r w:rsidRPr="00937A53">
              <w:rPr>
                <w:rFonts w:ascii="Garamond" w:hAnsi="Garamond"/>
              </w:rPr>
              <w:lastRenderedPageBreak/>
              <w:t>60</w:t>
            </w:r>
            <w:r w:rsidR="007E18FF" w:rsidRPr="00937A53">
              <w:rPr>
                <w:rFonts w:ascii="Garamond" w:hAnsi="Garamond"/>
              </w:rPr>
              <w:t xml:space="preserve">% of staff utilize Teacher-to-Parent messaging in SchoolCNXT </w:t>
            </w:r>
            <w:r w:rsidR="007E18FF" w:rsidRPr="00937A53">
              <w:rPr>
                <w:rFonts w:ascii="Garamond" w:hAnsi="Garamond"/>
              </w:rPr>
              <w:lastRenderedPageBreak/>
              <w:t>in the 30 days prior to the check in</w:t>
            </w:r>
          </w:p>
          <w:p w14:paraId="1501644D" w14:textId="77777777" w:rsidR="007E18FF" w:rsidRPr="00937A53" w:rsidRDefault="007E18FF" w:rsidP="00C90B5A">
            <w:pPr>
              <w:rPr>
                <w:rFonts w:ascii="Garamond" w:hAnsi="Garamond"/>
                <w:b/>
              </w:rPr>
            </w:pPr>
            <w:r w:rsidRPr="00937A53">
              <w:rPr>
                <w:rFonts w:ascii="Garamond" w:hAnsi="Garamond"/>
                <w:b/>
              </w:rPr>
              <w:t>AND</w:t>
            </w:r>
          </w:p>
          <w:p w14:paraId="7171932B" w14:textId="2D0847D7" w:rsidR="007E18FF" w:rsidRPr="00937A53" w:rsidRDefault="00DF15FC" w:rsidP="00C90B5A">
            <w:pPr>
              <w:rPr>
                <w:rFonts w:ascii="Garamond" w:hAnsi="Garamond"/>
              </w:rPr>
            </w:pPr>
            <w:r w:rsidRPr="00937A53">
              <w:rPr>
                <w:rFonts w:ascii="Garamond" w:hAnsi="Garamond"/>
              </w:rPr>
              <w:t>60</w:t>
            </w:r>
            <w:r w:rsidR="007E18FF" w:rsidRPr="00937A53">
              <w:rPr>
                <w:rFonts w:ascii="Garamond" w:hAnsi="Garamond"/>
              </w:rPr>
              <w:t>% of staff utilizing the posting function in SchoolCNXT in the 30 days prior to the check in</w:t>
            </w:r>
          </w:p>
          <w:p w14:paraId="74EEBAEB" w14:textId="77777777" w:rsidR="007E18FF" w:rsidRDefault="007E18FF" w:rsidP="00D967A9">
            <w:pPr>
              <w:rPr>
                <w:rFonts w:ascii="Garamond" w:hAnsi="Garamond"/>
              </w:rPr>
            </w:pPr>
          </w:p>
          <w:p w14:paraId="0F1B8726" w14:textId="0585C947" w:rsidR="007E18FF" w:rsidRPr="00937A53" w:rsidRDefault="00521567" w:rsidP="00D967A9">
            <w:pPr>
              <w:rPr>
                <w:rFonts w:ascii="Garamond" w:hAnsi="Garamond"/>
              </w:rPr>
            </w:pPr>
            <w:r w:rsidRPr="00F63CB7">
              <w:rPr>
                <w:rFonts w:ascii="Garamond" w:hAnsi="Garamond"/>
                <w:i/>
                <w:highlight w:val="lightGray"/>
              </w:rPr>
              <w:t>Has evidence of planning for School Advisory Council</w:t>
            </w:r>
            <w:r w:rsidRPr="00F63CB7">
              <w:rPr>
                <w:rFonts w:ascii="Garamond" w:hAnsi="Garamond"/>
                <w:i/>
              </w:rPr>
              <w:t xml:space="preserve"> </w:t>
            </w:r>
            <w:r w:rsidRPr="00F63CB7">
              <w:rPr>
                <w:rFonts w:ascii="Garamond" w:hAnsi="Garamond"/>
                <w:i/>
                <w:iCs/>
              </w:rPr>
              <w:t>(Notecatcher discussion question)</w:t>
            </w:r>
          </w:p>
        </w:tc>
        <w:tc>
          <w:tcPr>
            <w:tcW w:w="2626" w:type="dxa"/>
          </w:tcPr>
          <w:p w14:paraId="6FA76437" w14:textId="6BD1211E" w:rsidR="007E18FF" w:rsidRPr="00937A53" w:rsidRDefault="00DF15FC" w:rsidP="00873156">
            <w:pPr>
              <w:rPr>
                <w:rFonts w:ascii="Garamond" w:hAnsi="Garamond"/>
              </w:rPr>
            </w:pPr>
            <w:r w:rsidRPr="00937A53">
              <w:rPr>
                <w:rFonts w:ascii="Garamond" w:hAnsi="Garamond"/>
              </w:rPr>
              <w:lastRenderedPageBreak/>
              <w:t>60</w:t>
            </w:r>
            <w:r w:rsidR="007E18FF" w:rsidRPr="00937A53">
              <w:rPr>
                <w:rFonts w:ascii="Garamond" w:hAnsi="Garamond"/>
              </w:rPr>
              <w:t xml:space="preserve">% of staff utilize two-way messaging in SchoolCNXT </w:t>
            </w:r>
            <w:r w:rsidR="007E18FF" w:rsidRPr="00937A53">
              <w:rPr>
                <w:rFonts w:ascii="Garamond" w:hAnsi="Garamond"/>
              </w:rPr>
              <w:lastRenderedPageBreak/>
              <w:t>in the 30 days prior to the check in</w:t>
            </w:r>
          </w:p>
          <w:p w14:paraId="03BC77D0" w14:textId="77777777" w:rsidR="007E18FF" w:rsidRPr="00937A53" w:rsidRDefault="007E18FF" w:rsidP="00873156">
            <w:pPr>
              <w:rPr>
                <w:rFonts w:ascii="Garamond" w:hAnsi="Garamond"/>
                <w:b/>
              </w:rPr>
            </w:pPr>
            <w:r w:rsidRPr="00937A53">
              <w:rPr>
                <w:rFonts w:ascii="Garamond" w:hAnsi="Garamond"/>
                <w:b/>
              </w:rPr>
              <w:t>AND</w:t>
            </w:r>
          </w:p>
          <w:p w14:paraId="704D1457" w14:textId="05AE279B" w:rsidR="007E18FF" w:rsidRPr="00937A53" w:rsidRDefault="00DF15FC" w:rsidP="00873156">
            <w:pPr>
              <w:rPr>
                <w:rFonts w:ascii="Garamond" w:hAnsi="Garamond"/>
              </w:rPr>
            </w:pPr>
            <w:r w:rsidRPr="00937A53">
              <w:rPr>
                <w:rFonts w:ascii="Garamond" w:hAnsi="Garamond"/>
              </w:rPr>
              <w:t>60</w:t>
            </w:r>
            <w:r w:rsidR="007E18FF" w:rsidRPr="00937A53">
              <w:rPr>
                <w:rFonts w:ascii="Garamond" w:hAnsi="Garamond"/>
              </w:rPr>
              <w:t>% of staff utilizing the posting function in SchoolCNXT in the 30 days prior to the check in</w:t>
            </w:r>
          </w:p>
          <w:p w14:paraId="58124D22" w14:textId="77777777" w:rsidR="007E18FF" w:rsidRPr="00937A53" w:rsidRDefault="007E18FF" w:rsidP="00873156">
            <w:pPr>
              <w:rPr>
                <w:rFonts w:ascii="Garamond" w:hAnsi="Garamond"/>
                <w:b/>
              </w:rPr>
            </w:pPr>
            <w:r w:rsidRPr="00937A53">
              <w:rPr>
                <w:rFonts w:ascii="Garamond" w:hAnsi="Garamond"/>
                <w:b/>
              </w:rPr>
              <w:t>AND</w:t>
            </w:r>
          </w:p>
          <w:p w14:paraId="5125F12F" w14:textId="77777777" w:rsidR="007E18FF" w:rsidRPr="00937A53" w:rsidRDefault="007E18FF" w:rsidP="00873156">
            <w:pPr>
              <w:rPr>
                <w:rFonts w:ascii="Garamond" w:hAnsi="Garamond"/>
              </w:rPr>
            </w:pPr>
            <w:r w:rsidRPr="00937A53">
              <w:rPr>
                <w:rFonts w:ascii="Garamond" w:hAnsi="Garamond"/>
              </w:rPr>
              <w:t>Schools have had one School Advisory Council Meeting</w:t>
            </w:r>
          </w:p>
          <w:p w14:paraId="2E1C6677" w14:textId="77777777" w:rsidR="007E18FF" w:rsidRPr="00937A53" w:rsidRDefault="007E18FF" w:rsidP="00D967A9">
            <w:pPr>
              <w:rPr>
                <w:rFonts w:ascii="Garamond" w:hAnsi="Garamond"/>
              </w:rPr>
            </w:pPr>
          </w:p>
        </w:tc>
        <w:tc>
          <w:tcPr>
            <w:tcW w:w="2626" w:type="dxa"/>
          </w:tcPr>
          <w:p w14:paraId="2EF28D6B" w14:textId="77777777" w:rsidR="008911CD" w:rsidRPr="00937A53" w:rsidRDefault="008911CD" w:rsidP="008911CD">
            <w:pPr>
              <w:rPr>
                <w:rFonts w:ascii="Garamond" w:hAnsi="Garamond"/>
              </w:rPr>
            </w:pPr>
            <w:r w:rsidRPr="00937A53">
              <w:rPr>
                <w:rFonts w:ascii="Garamond" w:hAnsi="Garamond"/>
              </w:rPr>
              <w:lastRenderedPageBreak/>
              <w:t xml:space="preserve">60% of staff utilize two-way messaging in SchoolCNXT </w:t>
            </w:r>
            <w:r w:rsidRPr="00937A53">
              <w:rPr>
                <w:rFonts w:ascii="Garamond" w:hAnsi="Garamond"/>
              </w:rPr>
              <w:lastRenderedPageBreak/>
              <w:t>in the 30 days prior to the check in</w:t>
            </w:r>
          </w:p>
          <w:p w14:paraId="2A28023C" w14:textId="77777777" w:rsidR="008911CD" w:rsidRPr="00937A53" w:rsidRDefault="008911CD" w:rsidP="008911CD">
            <w:pPr>
              <w:rPr>
                <w:rFonts w:ascii="Garamond" w:hAnsi="Garamond"/>
                <w:b/>
              </w:rPr>
            </w:pPr>
            <w:r w:rsidRPr="00937A53">
              <w:rPr>
                <w:rFonts w:ascii="Garamond" w:hAnsi="Garamond"/>
                <w:b/>
              </w:rPr>
              <w:t>AND</w:t>
            </w:r>
          </w:p>
          <w:p w14:paraId="5BEA92C2" w14:textId="77777777" w:rsidR="008911CD" w:rsidRPr="00937A53" w:rsidRDefault="008911CD" w:rsidP="008911CD">
            <w:pPr>
              <w:rPr>
                <w:rFonts w:ascii="Garamond" w:hAnsi="Garamond"/>
              </w:rPr>
            </w:pPr>
            <w:r w:rsidRPr="00937A53">
              <w:rPr>
                <w:rFonts w:ascii="Garamond" w:hAnsi="Garamond"/>
              </w:rPr>
              <w:t>60% of staff utilizing the posting function in SchoolCNXT in the 30 days prior to the check in</w:t>
            </w:r>
          </w:p>
          <w:p w14:paraId="510D09F2" w14:textId="77777777" w:rsidR="008911CD" w:rsidRPr="00937A53" w:rsidRDefault="008911CD" w:rsidP="008911CD">
            <w:pPr>
              <w:rPr>
                <w:rFonts w:ascii="Garamond" w:hAnsi="Garamond"/>
                <w:b/>
              </w:rPr>
            </w:pPr>
            <w:r w:rsidRPr="00937A53">
              <w:rPr>
                <w:rFonts w:ascii="Garamond" w:hAnsi="Garamond"/>
                <w:b/>
              </w:rPr>
              <w:t>AND</w:t>
            </w:r>
          </w:p>
          <w:p w14:paraId="7C437136" w14:textId="7DCD724C" w:rsidR="008911CD" w:rsidRPr="00937A53" w:rsidRDefault="008911CD" w:rsidP="008911CD">
            <w:pPr>
              <w:rPr>
                <w:rFonts w:ascii="Garamond" w:hAnsi="Garamond"/>
              </w:rPr>
            </w:pPr>
            <w:r w:rsidRPr="00937A53">
              <w:rPr>
                <w:rFonts w:ascii="Garamond" w:hAnsi="Garamond"/>
              </w:rPr>
              <w:t>Schools have monthly School Advisory Council Meeting</w:t>
            </w:r>
          </w:p>
          <w:p w14:paraId="55F66A30" w14:textId="77777777" w:rsidR="007E18FF" w:rsidRPr="00937A53" w:rsidRDefault="007E18FF" w:rsidP="00BA4CB7">
            <w:pPr>
              <w:rPr>
                <w:rFonts w:ascii="Garamond" w:hAnsi="Garamond"/>
              </w:rPr>
            </w:pPr>
          </w:p>
        </w:tc>
        <w:tc>
          <w:tcPr>
            <w:tcW w:w="2816" w:type="dxa"/>
          </w:tcPr>
          <w:p w14:paraId="0BB0B986" w14:textId="59B498B5" w:rsidR="007E18FF" w:rsidRPr="00937A53" w:rsidRDefault="008911CD" w:rsidP="00BA4CB7">
            <w:pPr>
              <w:rPr>
                <w:rFonts w:ascii="Garamond" w:hAnsi="Garamond"/>
              </w:rPr>
            </w:pPr>
            <w:r w:rsidRPr="00937A53">
              <w:rPr>
                <w:rFonts w:ascii="Garamond" w:hAnsi="Garamond"/>
              </w:rPr>
              <w:lastRenderedPageBreak/>
              <w:t>60</w:t>
            </w:r>
            <w:r w:rsidR="007E18FF" w:rsidRPr="00937A53">
              <w:rPr>
                <w:rFonts w:ascii="Garamond" w:hAnsi="Garamond"/>
              </w:rPr>
              <w:t xml:space="preserve">% of staff utilize two-way messaging in SchoolCNXT in </w:t>
            </w:r>
            <w:r w:rsidR="007E18FF" w:rsidRPr="00937A53">
              <w:rPr>
                <w:rFonts w:ascii="Garamond" w:hAnsi="Garamond"/>
              </w:rPr>
              <w:lastRenderedPageBreak/>
              <w:t>the 30 days prior to the check in</w:t>
            </w:r>
          </w:p>
          <w:p w14:paraId="15C9F0DF" w14:textId="77777777" w:rsidR="007E18FF" w:rsidRPr="00937A53" w:rsidRDefault="007E18FF" w:rsidP="00BA4CB7">
            <w:pPr>
              <w:rPr>
                <w:rFonts w:ascii="Garamond" w:hAnsi="Garamond"/>
                <w:b/>
              </w:rPr>
            </w:pPr>
            <w:r w:rsidRPr="00937A53">
              <w:rPr>
                <w:rFonts w:ascii="Garamond" w:hAnsi="Garamond"/>
                <w:b/>
              </w:rPr>
              <w:t>AND</w:t>
            </w:r>
          </w:p>
          <w:p w14:paraId="7F2A4E69" w14:textId="7F23D2A3" w:rsidR="007E18FF" w:rsidRPr="00937A53" w:rsidRDefault="00A87BC4" w:rsidP="00BA4CB7">
            <w:pPr>
              <w:rPr>
                <w:rFonts w:ascii="Garamond" w:hAnsi="Garamond"/>
              </w:rPr>
            </w:pPr>
            <w:r w:rsidRPr="00937A53">
              <w:rPr>
                <w:rFonts w:ascii="Garamond" w:hAnsi="Garamond"/>
              </w:rPr>
              <w:t>60</w:t>
            </w:r>
            <w:r w:rsidR="007E18FF" w:rsidRPr="00937A53">
              <w:rPr>
                <w:rFonts w:ascii="Garamond" w:hAnsi="Garamond"/>
              </w:rPr>
              <w:t>% of staff utilizing the posting function in SchoolCNXT in the 30 days prior to the check in</w:t>
            </w:r>
          </w:p>
          <w:p w14:paraId="150F0337" w14:textId="77777777" w:rsidR="007E18FF" w:rsidRPr="00937A53" w:rsidRDefault="007E18FF" w:rsidP="00BA4CB7">
            <w:pPr>
              <w:rPr>
                <w:rFonts w:ascii="Garamond" w:hAnsi="Garamond"/>
                <w:b/>
              </w:rPr>
            </w:pPr>
            <w:r w:rsidRPr="00937A53">
              <w:rPr>
                <w:rFonts w:ascii="Garamond" w:hAnsi="Garamond"/>
                <w:b/>
              </w:rPr>
              <w:t>AND</w:t>
            </w:r>
          </w:p>
          <w:p w14:paraId="1293BCC6" w14:textId="7B2B37A1" w:rsidR="007E18FF" w:rsidRPr="00937A53" w:rsidRDefault="007E18FF" w:rsidP="00D967A9">
            <w:pPr>
              <w:rPr>
                <w:rFonts w:ascii="Garamond" w:hAnsi="Garamond"/>
              </w:rPr>
            </w:pPr>
            <w:r w:rsidRPr="00937A53">
              <w:rPr>
                <w:rFonts w:ascii="Garamond" w:hAnsi="Garamond"/>
              </w:rPr>
              <w:t>Schools have monthly meetings of a School Advisory Council and have a plan for monthly meetings for the 2023-2024 school year</w:t>
            </w:r>
          </w:p>
        </w:tc>
      </w:tr>
      <w:tr w:rsidR="00092FDF" w:rsidRPr="00E54EE3" w14:paraId="4A4C35C5" w14:textId="77777777" w:rsidTr="002B35A8">
        <w:tc>
          <w:tcPr>
            <w:tcW w:w="1530" w:type="dxa"/>
            <w:gridSpan w:val="2"/>
            <w:vMerge/>
          </w:tcPr>
          <w:p w14:paraId="362E49EF" w14:textId="77777777" w:rsidR="007E18FF" w:rsidRPr="00E54EE3" w:rsidRDefault="007E18FF" w:rsidP="005F58C7">
            <w:pPr>
              <w:rPr>
                <w:rFonts w:ascii="Gill Sans MT" w:hAnsi="Gill Sans MT"/>
                <w:sz w:val="24"/>
                <w:szCs w:val="24"/>
              </w:rPr>
            </w:pPr>
          </w:p>
        </w:tc>
        <w:tc>
          <w:tcPr>
            <w:tcW w:w="2626" w:type="dxa"/>
          </w:tcPr>
          <w:p w14:paraId="79AA4C4B" w14:textId="77B73452" w:rsidR="007E18FF" w:rsidRPr="00937A53" w:rsidRDefault="007E18FF" w:rsidP="005F58C7">
            <w:pPr>
              <w:shd w:val="clear" w:color="auto" w:fill="FFFFFF"/>
              <w:rPr>
                <w:rFonts w:ascii="Garamond" w:hAnsi="Garamond"/>
                <w:shd w:val="clear" w:color="auto" w:fill="FFFFFF"/>
              </w:rPr>
            </w:pPr>
            <w:r w:rsidRPr="00937A53">
              <w:rPr>
                <w:rFonts w:ascii="Garamond" w:hAnsi="Garamond"/>
                <w:shd w:val="clear" w:color="auto" w:fill="FFFFFF"/>
              </w:rPr>
              <w:t>6B. Students in transition years (</w:t>
            </w:r>
            <w:r w:rsidR="00C01EF4" w:rsidRPr="00937A53">
              <w:rPr>
                <w:rFonts w:ascii="Garamond" w:hAnsi="Garamond"/>
                <w:shd w:val="clear" w:color="auto" w:fill="FFFFFF"/>
              </w:rPr>
              <w:t>9</w:t>
            </w:r>
            <w:r w:rsidRPr="00937A53">
              <w:rPr>
                <w:rFonts w:ascii="Garamond" w:hAnsi="Garamond"/>
                <w:shd w:val="clear" w:color="auto" w:fill="FFFFFF"/>
                <w:vertAlign w:val="superscript"/>
              </w:rPr>
              <w:t>th</w:t>
            </w:r>
            <w:r w:rsidRPr="00937A53">
              <w:rPr>
                <w:rFonts w:ascii="Garamond" w:hAnsi="Garamond"/>
                <w:shd w:val="clear" w:color="auto" w:fill="FFFFFF"/>
              </w:rPr>
              <w:t>) experience strong engagement and community in all buildings.</w:t>
            </w:r>
          </w:p>
          <w:p w14:paraId="28D724D6" w14:textId="153DDB8D" w:rsidR="007E18FF" w:rsidRPr="00937A53" w:rsidRDefault="007E18FF" w:rsidP="005F58C7">
            <w:pPr>
              <w:shd w:val="clear" w:color="auto" w:fill="FFFFFF"/>
              <w:rPr>
                <w:rFonts w:ascii="Garamond" w:hAnsi="Garamond"/>
                <w:shd w:val="clear" w:color="auto" w:fill="FFFFFF"/>
              </w:rPr>
            </w:pPr>
          </w:p>
        </w:tc>
        <w:tc>
          <w:tcPr>
            <w:tcW w:w="2626" w:type="dxa"/>
          </w:tcPr>
          <w:p w14:paraId="62A1F869" w14:textId="77777777" w:rsidR="007E18FF" w:rsidRDefault="00C01EF4" w:rsidP="005F58C7">
            <w:pPr>
              <w:rPr>
                <w:rFonts w:ascii="Garamond" w:hAnsi="Garamond"/>
                <w:shd w:val="clear" w:color="auto" w:fill="FFFFFF"/>
              </w:rPr>
            </w:pPr>
            <w:r w:rsidRPr="00937A53">
              <w:rPr>
                <w:rFonts w:ascii="Garamond" w:hAnsi="Garamond"/>
                <w:shd w:val="clear" w:color="auto" w:fill="FFFFFF"/>
              </w:rPr>
              <w:t>4</w:t>
            </w:r>
            <w:r w:rsidR="007E18FF" w:rsidRPr="00937A53">
              <w:rPr>
                <w:rFonts w:ascii="Garamond" w:hAnsi="Garamond"/>
                <w:shd w:val="clear" w:color="auto" w:fill="FFFFFF"/>
              </w:rPr>
              <w:t>0% or more of students in transitional years (</w:t>
            </w:r>
            <w:r w:rsidR="00625E61" w:rsidRPr="00937A53">
              <w:rPr>
                <w:rFonts w:ascii="Garamond" w:hAnsi="Garamond"/>
                <w:shd w:val="clear" w:color="auto" w:fill="FFFFFF"/>
              </w:rPr>
              <w:t>9</w:t>
            </w:r>
            <w:r w:rsidR="007E18FF" w:rsidRPr="00937A53">
              <w:rPr>
                <w:rFonts w:ascii="Garamond" w:hAnsi="Garamond"/>
                <w:shd w:val="clear" w:color="auto" w:fill="FFFFFF"/>
                <w:vertAlign w:val="superscript"/>
              </w:rPr>
              <w:t>th</w:t>
            </w:r>
            <w:r w:rsidR="007E18FF" w:rsidRPr="00937A53">
              <w:rPr>
                <w:rFonts w:ascii="Garamond" w:hAnsi="Garamond"/>
                <w:shd w:val="clear" w:color="auto" w:fill="FFFFFF"/>
              </w:rPr>
              <w:t>) have engaged in community partnerships or district sponsored activities.</w:t>
            </w:r>
          </w:p>
          <w:p w14:paraId="60AD0127" w14:textId="3B73C038" w:rsidR="007E18FF" w:rsidRPr="00937A53" w:rsidRDefault="007E18FF" w:rsidP="005F58C7">
            <w:pPr>
              <w:rPr>
                <w:rFonts w:ascii="Garamond" w:hAnsi="Garamond"/>
              </w:rPr>
            </w:pPr>
          </w:p>
        </w:tc>
        <w:tc>
          <w:tcPr>
            <w:tcW w:w="2626" w:type="dxa"/>
          </w:tcPr>
          <w:p w14:paraId="68122615" w14:textId="0CA8F6F0" w:rsidR="007E18FF" w:rsidRPr="00937A53" w:rsidRDefault="00C01EF4" w:rsidP="005F58C7">
            <w:pPr>
              <w:rPr>
                <w:rFonts w:ascii="Garamond" w:hAnsi="Garamond"/>
              </w:rPr>
            </w:pPr>
            <w:r w:rsidRPr="00937A53">
              <w:rPr>
                <w:rFonts w:ascii="Garamond" w:hAnsi="Garamond"/>
                <w:shd w:val="clear" w:color="auto" w:fill="FFFFFF"/>
              </w:rPr>
              <w:t>4</w:t>
            </w:r>
            <w:r w:rsidR="007E18FF" w:rsidRPr="00937A53">
              <w:rPr>
                <w:rFonts w:ascii="Garamond" w:hAnsi="Garamond"/>
                <w:shd w:val="clear" w:color="auto" w:fill="FFFFFF"/>
              </w:rPr>
              <w:t>5% or more of students in transitional years (</w:t>
            </w:r>
            <w:r w:rsidR="00625E61" w:rsidRPr="00937A53">
              <w:rPr>
                <w:rFonts w:ascii="Garamond" w:hAnsi="Garamond"/>
                <w:shd w:val="clear" w:color="auto" w:fill="FFFFFF"/>
              </w:rPr>
              <w:t>9</w:t>
            </w:r>
            <w:r w:rsidR="007E18FF" w:rsidRPr="00937A53">
              <w:rPr>
                <w:rFonts w:ascii="Garamond" w:hAnsi="Garamond"/>
                <w:shd w:val="clear" w:color="auto" w:fill="FFFFFF"/>
                <w:vertAlign w:val="superscript"/>
              </w:rPr>
              <w:t>th</w:t>
            </w:r>
            <w:r w:rsidR="007E18FF" w:rsidRPr="00937A53">
              <w:rPr>
                <w:rFonts w:ascii="Garamond" w:hAnsi="Garamond"/>
                <w:shd w:val="clear" w:color="auto" w:fill="FFFFFF"/>
              </w:rPr>
              <w:t>) have engaged in community partnerships or district sponsored activities.</w:t>
            </w:r>
          </w:p>
        </w:tc>
        <w:tc>
          <w:tcPr>
            <w:tcW w:w="2626" w:type="dxa"/>
          </w:tcPr>
          <w:p w14:paraId="24EE94D9" w14:textId="7E9E9D97" w:rsidR="007E18FF" w:rsidRPr="00937A53" w:rsidRDefault="00625E61" w:rsidP="005F58C7">
            <w:pPr>
              <w:rPr>
                <w:rFonts w:ascii="Garamond" w:hAnsi="Garamond"/>
                <w:shd w:val="clear" w:color="auto" w:fill="FFFFFF"/>
              </w:rPr>
            </w:pPr>
            <w:r w:rsidRPr="00937A53">
              <w:rPr>
                <w:rFonts w:ascii="Garamond" w:hAnsi="Garamond"/>
                <w:shd w:val="clear" w:color="auto" w:fill="FFFFFF"/>
              </w:rPr>
              <w:t>55% </w:t>
            </w:r>
            <w:r w:rsidR="005F644D" w:rsidRPr="00937A53">
              <w:rPr>
                <w:rFonts w:ascii="Garamond" w:hAnsi="Garamond"/>
                <w:shd w:val="clear" w:color="auto" w:fill="FFFFFF"/>
              </w:rPr>
              <w:t>or more of students in transitional years (9</w:t>
            </w:r>
            <w:r w:rsidR="005F644D" w:rsidRPr="00937A53">
              <w:rPr>
                <w:rFonts w:ascii="Garamond" w:hAnsi="Garamond"/>
                <w:shd w:val="clear" w:color="auto" w:fill="FFFFFF"/>
                <w:vertAlign w:val="superscript"/>
              </w:rPr>
              <w:t>th</w:t>
            </w:r>
            <w:r w:rsidR="005F644D" w:rsidRPr="00937A53">
              <w:rPr>
                <w:rFonts w:ascii="Garamond" w:hAnsi="Garamond"/>
                <w:shd w:val="clear" w:color="auto" w:fill="FFFFFF"/>
              </w:rPr>
              <w:t>) have engaged in community partnerships or district sponsored activities.</w:t>
            </w:r>
          </w:p>
        </w:tc>
        <w:tc>
          <w:tcPr>
            <w:tcW w:w="2816" w:type="dxa"/>
          </w:tcPr>
          <w:p w14:paraId="1B4BE992" w14:textId="7F2E7BC6" w:rsidR="007E18FF" w:rsidRPr="00937A53" w:rsidRDefault="00936B24" w:rsidP="005F58C7">
            <w:pPr>
              <w:rPr>
                <w:rFonts w:ascii="Garamond" w:hAnsi="Garamond"/>
              </w:rPr>
            </w:pPr>
            <w:r w:rsidRPr="00937A53">
              <w:rPr>
                <w:rFonts w:ascii="Garamond" w:hAnsi="Garamond"/>
                <w:shd w:val="clear" w:color="auto" w:fill="FFFFFF"/>
              </w:rPr>
              <w:t>60</w:t>
            </w:r>
            <w:r w:rsidR="007E18FF" w:rsidRPr="00937A53">
              <w:rPr>
                <w:rFonts w:ascii="Garamond" w:hAnsi="Garamond"/>
                <w:shd w:val="clear" w:color="auto" w:fill="FFFFFF"/>
              </w:rPr>
              <w:t>% or more of students in transitional years (5</w:t>
            </w:r>
            <w:r w:rsidR="007E18FF" w:rsidRPr="00937A53">
              <w:rPr>
                <w:rFonts w:ascii="Garamond" w:hAnsi="Garamond"/>
                <w:shd w:val="clear" w:color="auto" w:fill="FFFFFF"/>
                <w:vertAlign w:val="superscript"/>
              </w:rPr>
              <w:t>th</w:t>
            </w:r>
            <w:r w:rsidR="007E18FF" w:rsidRPr="00937A53">
              <w:rPr>
                <w:rFonts w:ascii="Garamond" w:hAnsi="Garamond"/>
                <w:shd w:val="clear" w:color="auto" w:fill="FFFFFF"/>
              </w:rPr>
              <w:t>) have engaged in community partnerships or district spon</w:t>
            </w:r>
            <w:r w:rsidR="005E6077">
              <w:rPr>
                <w:rFonts w:ascii="Garamond" w:hAnsi="Garamond"/>
                <w:shd w:val="clear" w:color="auto" w:fill="FFFFFF"/>
              </w:rPr>
              <w:t>s</w:t>
            </w:r>
            <w:r w:rsidR="007E18FF" w:rsidRPr="00937A53">
              <w:rPr>
                <w:rFonts w:ascii="Garamond" w:hAnsi="Garamond"/>
                <w:shd w:val="clear" w:color="auto" w:fill="FFFFFF"/>
              </w:rPr>
              <w:t>ored activities.</w:t>
            </w:r>
          </w:p>
        </w:tc>
      </w:tr>
      <w:tr w:rsidR="00092FDF" w:rsidRPr="00E54EE3" w14:paraId="7A858379" w14:textId="77777777" w:rsidTr="002B35A8">
        <w:tc>
          <w:tcPr>
            <w:tcW w:w="1530" w:type="dxa"/>
            <w:gridSpan w:val="2"/>
            <w:vMerge/>
          </w:tcPr>
          <w:p w14:paraId="34E0DB14" w14:textId="77777777" w:rsidR="007E18FF" w:rsidRPr="00E54EE3" w:rsidRDefault="007E18FF" w:rsidP="0083329B">
            <w:pPr>
              <w:rPr>
                <w:rFonts w:ascii="Gill Sans MT" w:hAnsi="Gill Sans MT"/>
                <w:sz w:val="24"/>
                <w:szCs w:val="24"/>
              </w:rPr>
            </w:pPr>
          </w:p>
        </w:tc>
        <w:tc>
          <w:tcPr>
            <w:tcW w:w="2626" w:type="dxa"/>
          </w:tcPr>
          <w:p w14:paraId="5A90CAAD" w14:textId="77777777" w:rsidR="007E18FF" w:rsidRPr="00937A53" w:rsidRDefault="007E18FF" w:rsidP="0083329B">
            <w:pPr>
              <w:shd w:val="clear" w:color="auto" w:fill="FFFFFF"/>
              <w:rPr>
                <w:rFonts w:ascii="Garamond" w:hAnsi="Garamond"/>
                <w:shd w:val="clear" w:color="auto" w:fill="FFFFFF"/>
              </w:rPr>
            </w:pPr>
            <w:r w:rsidRPr="00937A53">
              <w:rPr>
                <w:rFonts w:ascii="Garamond" w:eastAsia="Times New Roman" w:hAnsi="Garamond" w:cs="Times New Roman"/>
              </w:rPr>
              <w:t xml:space="preserve">6C. </w:t>
            </w:r>
            <w:r w:rsidRPr="00937A53">
              <w:rPr>
                <w:rFonts w:ascii="Garamond" w:hAnsi="Garamond"/>
                <w:shd w:val="clear" w:color="auto" w:fill="FFFFFF"/>
              </w:rPr>
              <w:t>All students experience strong engagement and community in all buildings.</w:t>
            </w:r>
          </w:p>
          <w:p w14:paraId="31416E8D" w14:textId="7FBC33C6" w:rsidR="007E18FF" w:rsidRPr="00937A53" w:rsidRDefault="007E18FF" w:rsidP="0083329B">
            <w:pPr>
              <w:shd w:val="clear" w:color="auto" w:fill="FFFFFF"/>
              <w:rPr>
                <w:rFonts w:ascii="Garamond" w:eastAsia="Times New Roman" w:hAnsi="Garamond" w:cs="Times New Roman"/>
              </w:rPr>
            </w:pPr>
          </w:p>
        </w:tc>
        <w:tc>
          <w:tcPr>
            <w:tcW w:w="2626" w:type="dxa"/>
          </w:tcPr>
          <w:p w14:paraId="7E496576" w14:textId="77777777" w:rsidR="007E18FF" w:rsidRDefault="00FA5DC1" w:rsidP="0083329B">
            <w:pPr>
              <w:rPr>
                <w:rFonts w:ascii="Garamond" w:hAnsi="Garamond"/>
                <w:shd w:val="clear" w:color="auto" w:fill="FFFFFF"/>
              </w:rPr>
            </w:pPr>
            <w:r w:rsidRPr="00937A53">
              <w:rPr>
                <w:rFonts w:ascii="Garamond" w:hAnsi="Garamond"/>
                <w:shd w:val="clear" w:color="auto" w:fill="FFFFFF"/>
              </w:rPr>
              <w:t>38</w:t>
            </w:r>
            <w:r w:rsidR="007E18FF" w:rsidRPr="00937A53">
              <w:rPr>
                <w:rFonts w:ascii="Garamond" w:hAnsi="Garamond"/>
                <w:shd w:val="clear" w:color="auto" w:fill="FFFFFF"/>
              </w:rPr>
              <w:t>%</w:t>
            </w:r>
            <w:r w:rsidR="001D23B2" w:rsidRPr="00937A53">
              <w:rPr>
                <w:rFonts w:ascii="Garamond" w:hAnsi="Garamond"/>
                <w:shd w:val="clear" w:color="auto" w:fill="FFFFFF"/>
              </w:rPr>
              <w:t>*</w:t>
            </w:r>
            <w:r w:rsidR="007E18FF" w:rsidRPr="00937A53">
              <w:rPr>
                <w:rFonts w:ascii="Garamond" w:hAnsi="Garamond"/>
                <w:shd w:val="clear" w:color="auto" w:fill="FFFFFF"/>
              </w:rPr>
              <w:t xml:space="preserve"> or more of </w:t>
            </w:r>
            <w:r w:rsidRPr="00937A53">
              <w:rPr>
                <w:rFonts w:ascii="Garamond" w:hAnsi="Garamond"/>
                <w:shd w:val="clear" w:color="auto" w:fill="FFFFFF"/>
              </w:rPr>
              <w:t>students</w:t>
            </w:r>
            <w:r w:rsidR="007E18FF" w:rsidRPr="00937A53">
              <w:rPr>
                <w:rFonts w:ascii="Garamond" w:hAnsi="Garamond"/>
                <w:shd w:val="clear" w:color="auto" w:fill="FFFFFF"/>
              </w:rPr>
              <w:t xml:space="preserve"> have engaged in community partnerships or district sponsored activities.</w:t>
            </w:r>
          </w:p>
          <w:p w14:paraId="363ADA5C" w14:textId="5D82CEEE" w:rsidR="007E18FF" w:rsidRPr="00937A53" w:rsidRDefault="007E18FF" w:rsidP="0083329B">
            <w:pPr>
              <w:rPr>
                <w:rFonts w:ascii="Garamond" w:hAnsi="Garamond"/>
              </w:rPr>
            </w:pPr>
          </w:p>
        </w:tc>
        <w:tc>
          <w:tcPr>
            <w:tcW w:w="2626" w:type="dxa"/>
          </w:tcPr>
          <w:p w14:paraId="0AD7CBAC" w14:textId="7120610D" w:rsidR="007E18FF" w:rsidRPr="00937A53" w:rsidRDefault="00B96B68" w:rsidP="0083329B">
            <w:pPr>
              <w:rPr>
                <w:rFonts w:ascii="Garamond" w:hAnsi="Garamond"/>
              </w:rPr>
            </w:pPr>
            <w:r w:rsidRPr="00937A53">
              <w:rPr>
                <w:rFonts w:ascii="Garamond" w:hAnsi="Garamond"/>
                <w:shd w:val="clear" w:color="auto" w:fill="FFFFFF"/>
              </w:rPr>
              <w:t>46</w:t>
            </w:r>
            <w:r w:rsidR="007E18FF" w:rsidRPr="00937A53">
              <w:rPr>
                <w:rFonts w:ascii="Garamond" w:hAnsi="Garamond"/>
                <w:shd w:val="clear" w:color="auto" w:fill="FFFFFF"/>
              </w:rPr>
              <w:t>%</w:t>
            </w:r>
            <w:r w:rsidR="001D23B2" w:rsidRPr="00937A53">
              <w:rPr>
                <w:rFonts w:ascii="Garamond" w:hAnsi="Garamond"/>
                <w:shd w:val="clear" w:color="auto" w:fill="FFFFFF"/>
              </w:rPr>
              <w:t>*</w:t>
            </w:r>
            <w:r w:rsidR="007E18FF" w:rsidRPr="00937A53">
              <w:rPr>
                <w:rFonts w:ascii="Garamond" w:hAnsi="Garamond"/>
                <w:shd w:val="clear" w:color="auto" w:fill="FFFFFF"/>
              </w:rPr>
              <w:t> or more of students have engaged in community partnerships or district sponsored activities.</w:t>
            </w:r>
          </w:p>
        </w:tc>
        <w:tc>
          <w:tcPr>
            <w:tcW w:w="2626" w:type="dxa"/>
          </w:tcPr>
          <w:p w14:paraId="5C3E56EE" w14:textId="023812B5" w:rsidR="007E18FF" w:rsidRPr="00937A53" w:rsidRDefault="00B96B68" w:rsidP="0083329B">
            <w:pPr>
              <w:rPr>
                <w:rFonts w:ascii="Garamond" w:hAnsi="Garamond"/>
                <w:shd w:val="clear" w:color="auto" w:fill="FFFFFF"/>
              </w:rPr>
            </w:pPr>
            <w:r w:rsidRPr="00937A53">
              <w:rPr>
                <w:rFonts w:ascii="Garamond" w:hAnsi="Garamond"/>
                <w:shd w:val="clear" w:color="auto" w:fill="FFFFFF"/>
              </w:rPr>
              <w:t>52%</w:t>
            </w:r>
            <w:r w:rsidR="001D23B2" w:rsidRPr="00937A53">
              <w:rPr>
                <w:rFonts w:ascii="Garamond" w:hAnsi="Garamond"/>
                <w:shd w:val="clear" w:color="auto" w:fill="FFFFFF"/>
              </w:rPr>
              <w:t>*</w:t>
            </w:r>
            <w:r w:rsidRPr="00937A53">
              <w:rPr>
                <w:rFonts w:ascii="Garamond" w:hAnsi="Garamond"/>
                <w:shd w:val="clear" w:color="auto" w:fill="FFFFFF"/>
              </w:rPr>
              <w:t> or more of students have engaged in community partnerships or district sponsored activities.</w:t>
            </w:r>
          </w:p>
        </w:tc>
        <w:tc>
          <w:tcPr>
            <w:tcW w:w="2816" w:type="dxa"/>
          </w:tcPr>
          <w:p w14:paraId="13AD4D92" w14:textId="2C91E6A8" w:rsidR="007E18FF" w:rsidRPr="00937A53" w:rsidRDefault="00B96B68" w:rsidP="0083329B">
            <w:pPr>
              <w:rPr>
                <w:rFonts w:ascii="Garamond" w:hAnsi="Garamond"/>
              </w:rPr>
            </w:pPr>
            <w:r w:rsidRPr="00937A53">
              <w:rPr>
                <w:rFonts w:ascii="Garamond" w:hAnsi="Garamond"/>
                <w:shd w:val="clear" w:color="auto" w:fill="FFFFFF"/>
              </w:rPr>
              <w:t>57%</w:t>
            </w:r>
            <w:r w:rsidR="001D23B2" w:rsidRPr="00937A53">
              <w:rPr>
                <w:rFonts w:ascii="Garamond" w:hAnsi="Garamond"/>
                <w:shd w:val="clear" w:color="auto" w:fill="FFFFFF"/>
              </w:rPr>
              <w:t>*</w:t>
            </w:r>
            <w:r w:rsidRPr="00937A53">
              <w:rPr>
                <w:rFonts w:ascii="Garamond" w:hAnsi="Garamond"/>
                <w:shd w:val="clear" w:color="auto" w:fill="FFFFFF"/>
              </w:rPr>
              <w:t> or more of students have engaged in community partnerships or district sponsored activities.</w:t>
            </w:r>
          </w:p>
        </w:tc>
      </w:tr>
      <w:tr w:rsidR="00092FDF" w:rsidRPr="00E54EE3" w14:paraId="71549FB0" w14:textId="77777777" w:rsidTr="002B35A8">
        <w:trPr>
          <w:gridBefore w:val="1"/>
          <w:wBefore w:w="6" w:type="dxa"/>
        </w:trPr>
        <w:tc>
          <w:tcPr>
            <w:tcW w:w="1524" w:type="dxa"/>
          </w:tcPr>
          <w:p w14:paraId="26461844" w14:textId="29DF4DB3" w:rsidR="207E1886" w:rsidRPr="207E1886" w:rsidRDefault="207E1886" w:rsidP="207E1886">
            <w:pPr>
              <w:rPr>
                <w:rFonts w:ascii="Gill Sans MT" w:hAnsi="Gill Sans MT"/>
                <w:sz w:val="24"/>
                <w:szCs w:val="24"/>
              </w:rPr>
            </w:pPr>
            <w:r w:rsidRPr="207E1886">
              <w:rPr>
                <w:rFonts w:ascii="Gill Sans MT" w:hAnsi="Gill Sans MT"/>
                <w:sz w:val="24"/>
                <w:szCs w:val="24"/>
              </w:rPr>
              <w:t>Safety</w:t>
            </w:r>
          </w:p>
        </w:tc>
        <w:tc>
          <w:tcPr>
            <w:tcW w:w="2626" w:type="dxa"/>
          </w:tcPr>
          <w:p w14:paraId="13F2CD74" w14:textId="0516A7A4" w:rsidR="007E18FF" w:rsidRPr="00937A53" w:rsidRDefault="007E18FF" w:rsidP="00B10326">
            <w:pPr>
              <w:rPr>
                <w:rFonts w:ascii="Garamond" w:hAnsi="Garamond" w:cs="Arial"/>
                <w:shd w:val="clear" w:color="auto" w:fill="FFFFFF"/>
              </w:rPr>
            </w:pPr>
            <w:r w:rsidRPr="00937A53">
              <w:rPr>
                <w:rFonts w:ascii="Garamond" w:hAnsi="Garamond" w:cs="Arial"/>
                <w:shd w:val="clear" w:color="auto" w:fill="FFFFFF"/>
              </w:rPr>
              <w:t>7. S</w:t>
            </w:r>
            <w:r w:rsidRPr="00937A53">
              <w:rPr>
                <w:rFonts w:ascii="Garamond" w:hAnsi="Garamond"/>
                <w:shd w:val="clear" w:color="auto" w:fill="FFFFFF"/>
              </w:rPr>
              <w:t xml:space="preserve">chools implement the districtwide safety framework with fidelity.  </w:t>
            </w:r>
          </w:p>
        </w:tc>
        <w:tc>
          <w:tcPr>
            <w:tcW w:w="2626" w:type="dxa"/>
          </w:tcPr>
          <w:p w14:paraId="64C0A46B" w14:textId="76428478" w:rsidR="007E18FF" w:rsidRPr="00937A53" w:rsidRDefault="0072443F" w:rsidP="00B10326">
            <w:pPr>
              <w:rPr>
                <w:rFonts w:ascii="Garamond" w:hAnsi="Garamond"/>
              </w:rPr>
            </w:pPr>
            <w:r>
              <w:rPr>
                <w:rFonts w:ascii="Garamond" w:hAnsi="Garamond"/>
              </w:rPr>
              <w:t xml:space="preserve">Pre-service/August: </w:t>
            </w:r>
            <w:r w:rsidR="007E18FF" w:rsidRPr="00937A53">
              <w:rPr>
                <w:rFonts w:ascii="Garamond" w:hAnsi="Garamond"/>
              </w:rPr>
              <w:t>Schools score at the highest rating (3) on all measures on the Safety Fidelity Self- Assessment (45 points)</w:t>
            </w:r>
          </w:p>
        </w:tc>
        <w:tc>
          <w:tcPr>
            <w:tcW w:w="2626" w:type="dxa"/>
          </w:tcPr>
          <w:p w14:paraId="4D708F70" w14:textId="77777777" w:rsidR="007E18FF" w:rsidRPr="00937A53" w:rsidRDefault="007E18FF" w:rsidP="00B10326">
            <w:pPr>
              <w:rPr>
                <w:rFonts w:ascii="Garamond" w:hAnsi="Garamond"/>
              </w:rPr>
            </w:pPr>
          </w:p>
        </w:tc>
        <w:tc>
          <w:tcPr>
            <w:tcW w:w="2626" w:type="dxa"/>
          </w:tcPr>
          <w:p w14:paraId="6C8D9477" w14:textId="77777777" w:rsidR="007E18FF" w:rsidRPr="00937A53" w:rsidRDefault="007E18FF" w:rsidP="00B10326">
            <w:pPr>
              <w:rPr>
                <w:rFonts w:ascii="Garamond" w:hAnsi="Garamond"/>
              </w:rPr>
            </w:pPr>
          </w:p>
        </w:tc>
        <w:tc>
          <w:tcPr>
            <w:tcW w:w="2816" w:type="dxa"/>
          </w:tcPr>
          <w:p w14:paraId="7E3AB86E" w14:textId="33596E37" w:rsidR="00A255E5" w:rsidRPr="00F63CB7" w:rsidRDefault="007E18FF" w:rsidP="00A255E5">
            <w:pPr>
              <w:rPr>
                <w:rFonts w:ascii="Garamond" w:hAnsi="Garamond"/>
              </w:rPr>
            </w:pPr>
            <w:r w:rsidRPr="00937A53">
              <w:rPr>
                <w:rFonts w:ascii="Garamond" w:hAnsi="Garamond"/>
              </w:rPr>
              <w:t>Schools score at the highest rating (3) on all measures on the Safety Fidelity Self-</w:t>
            </w:r>
            <w:r w:rsidR="00A255E5" w:rsidRPr="00F63CB7">
              <w:rPr>
                <w:rFonts w:ascii="Garamond" w:hAnsi="Garamond"/>
              </w:rPr>
              <w:t xml:space="preserve"> </w:t>
            </w:r>
            <w:r w:rsidRPr="00937A53">
              <w:rPr>
                <w:rFonts w:ascii="Garamond" w:hAnsi="Garamond"/>
              </w:rPr>
              <w:t>Assessment (</w:t>
            </w:r>
            <w:r w:rsidR="00A255E5" w:rsidRPr="00F63CB7">
              <w:rPr>
                <w:rFonts w:ascii="Garamond" w:hAnsi="Garamond"/>
              </w:rPr>
              <w:t>45</w:t>
            </w:r>
            <w:r w:rsidRPr="00937A53">
              <w:rPr>
                <w:rFonts w:ascii="Garamond" w:hAnsi="Garamond"/>
              </w:rPr>
              <w:t xml:space="preserve"> points)</w:t>
            </w:r>
          </w:p>
          <w:p w14:paraId="723B8B1C" w14:textId="20BC98B2" w:rsidR="007E18FF" w:rsidRPr="00937A53" w:rsidRDefault="007E18FF" w:rsidP="006D6426">
            <w:pPr>
              <w:rPr>
                <w:rFonts w:ascii="Garamond" w:hAnsi="Garamond"/>
              </w:rPr>
            </w:pPr>
          </w:p>
        </w:tc>
      </w:tr>
    </w:tbl>
    <w:p w14:paraId="6247225C" w14:textId="1E509C54" w:rsidR="007B588E" w:rsidRPr="00E54EE3" w:rsidRDefault="00D140DA">
      <w:pPr>
        <w:rPr>
          <w:rFonts w:ascii="Gill Sans MT" w:hAnsi="Gill Sans MT"/>
          <w:sz w:val="24"/>
          <w:szCs w:val="24"/>
        </w:rPr>
      </w:pPr>
      <w:r>
        <w:rPr>
          <w:rFonts w:ascii="Gill Sans MT" w:hAnsi="Gill Sans MT"/>
          <w:sz w:val="24"/>
          <w:szCs w:val="24"/>
        </w:rPr>
        <w:t>*There are different cut points for Virtual Campus</w:t>
      </w:r>
    </w:p>
    <w:sectPr w:rsidR="007B588E" w:rsidRPr="00E54EE3" w:rsidSect="00002D6D">
      <w:headerReference w:type="default" r:id="rId10"/>
      <w:pgSz w:w="15840" w:h="12240" w:orient="landscape"/>
      <w:pgMar w:top="1440" w:right="1440" w:bottom="1440" w:left="5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7A9F4" w14:textId="77777777" w:rsidR="00BC4C16" w:rsidRDefault="00BC4C16" w:rsidP="00002D6D">
      <w:pPr>
        <w:spacing w:after="0" w:line="240" w:lineRule="auto"/>
      </w:pPr>
      <w:r>
        <w:separator/>
      </w:r>
    </w:p>
  </w:endnote>
  <w:endnote w:type="continuationSeparator" w:id="0">
    <w:p w14:paraId="51A3350D" w14:textId="77777777" w:rsidR="00BC4C16" w:rsidRDefault="00BC4C16" w:rsidP="00002D6D">
      <w:pPr>
        <w:spacing w:after="0" w:line="240" w:lineRule="auto"/>
      </w:pPr>
      <w:r>
        <w:continuationSeparator/>
      </w:r>
    </w:p>
  </w:endnote>
  <w:endnote w:type="continuationNotice" w:id="1">
    <w:p w14:paraId="474BF9BD" w14:textId="77777777" w:rsidR="00BC4C16" w:rsidRDefault="00BC4C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5905C" w14:textId="77777777" w:rsidR="00BC4C16" w:rsidRDefault="00BC4C16" w:rsidP="00002D6D">
      <w:pPr>
        <w:spacing w:after="0" w:line="240" w:lineRule="auto"/>
      </w:pPr>
      <w:r>
        <w:separator/>
      </w:r>
    </w:p>
  </w:footnote>
  <w:footnote w:type="continuationSeparator" w:id="0">
    <w:p w14:paraId="5C9370B8" w14:textId="77777777" w:rsidR="00BC4C16" w:rsidRDefault="00BC4C16" w:rsidP="00002D6D">
      <w:pPr>
        <w:spacing w:after="0" w:line="240" w:lineRule="auto"/>
      </w:pPr>
      <w:r>
        <w:continuationSeparator/>
      </w:r>
    </w:p>
  </w:footnote>
  <w:footnote w:type="continuationNotice" w:id="1">
    <w:p w14:paraId="14791E6B" w14:textId="77777777" w:rsidR="00BC4C16" w:rsidRDefault="00BC4C1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EA5CE" w14:textId="5B434FCF" w:rsidR="00002D6D" w:rsidRPr="00002D6D" w:rsidRDefault="00400591" w:rsidP="00002D6D">
    <w:pPr>
      <w:pStyle w:val="Header"/>
      <w:jc w:val="center"/>
      <w:rPr>
        <w:rFonts w:ascii="Gill Sans MT" w:hAnsi="Gill Sans MT"/>
        <w:b/>
        <w:bCs/>
        <w:sz w:val="24"/>
        <w:szCs w:val="24"/>
      </w:rPr>
    </w:pPr>
    <w:r>
      <w:rPr>
        <w:rFonts w:ascii="Gill Sans MT" w:hAnsi="Gill Sans MT"/>
        <w:b/>
        <w:bCs/>
        <w:sz w:val="24"/>
        <w:szCs w:val="24"/>
      </w:rPr>
      <w:t>High</w:t>
    </w:r>
    <w:r w:rsidR="00E56DA3">
      <w:rPr>
        <w:rFonts w:ascii="Gill Sans MT" w:hAnsi="Gill Sans MT"/>
        <w:b/>
        <w:bCs/>
        <w:sz w:val="24"/>
        <w:szCs w:val="24"/>
      </w:rPr>
      <w:t xml:space="preserve"> School</w:t>
    </w:r>
    <w:r w:rsidR="00002D6D" w:rsidRPr="00002D6D">
      <w:rPr>
        <w:rFonts w:ascii="Gill Sans MT" w:hAnsi="Gill Sans MT"/>
        <w:b/>
        <w:bCs/>
        <w:sz w:val="24"/>
        <w:szCs w:val="24"/>
      </w:rPr>
      <w:t xml:space="preserve"> Board Lever Monitoring 2022-2023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31D27"/>
    <w:multiLevelType w:val="hybridMultilevel"/>
    <w:tmpl w:val="FFFFFFFF"/>
    <w:lvl w:ilvl="0" w:tplc="C5783BBA">
      <w:start w:val="1"/>
      <w:numFmt w:val="decimal"/>
      <w:lvlText w:val="%1."/>
      <w:lvlJc w:val="left"/>
      <w:pPr>
        <w:ind w:left="720" w:hanging="360"/>
      </w:pPr>
    </w:lvl>
    <w:lvl w:ilvl="1" w:tplc="9A4AA902">
      <w:start w:val="1"/>
      <w:numFmt w:val="lowerLetter"/>
      <w:lvlText w:val="%2."/>
      <w:lvlJc w:val="left"/>
      <w:pPr>
        <w:ind w:left="1440" w:hanging="360"/>
      </w:pPr>
    </w:lvl>
    <w:lvl w:ilvl="2" w:tplc="2CC61412">
      <w:start w:val="1"/>
      <w:numFmt w:val="lowerRoman"/>
      <w:lvlText w:val="%3."/>
      <w:lvlJc w:val="right"/>
      <w:pPr>
        <w:ind w:left="2160" w:hanging="180"/>
      </w:pPr>
    </w:lvl>
    <w:lvl w:ilvl="3" w:tplc="654C715A">
      <w:start w:val="1"/>
      <w:numFmt w:val="decimal"/>
      <w:lvlText w:val="%4."/>
      <w:lvlJc w:val="left"/>
      <w:pPr>
        <w:ind w:left="2880" w:hanging="360"/>
      </w:pPr>
    </w:lvl>
    <w:lvl w:ilvl="4" w:tplc="FF20F488">
      <w:start w:val="1"/>
      <w:numFmt w:val="lowerLetter"/>
      <w:lvlText w:val="%5."/>
      <w:lvlJc w:val="left"/>
      <w:pPr>
        <w:ind w:left="3600" w:hanging="360"/>
      </w:pPr>
    </w:lvl>
    <w:lvl w:ilvl="5" w:tplc="BA0CE8C6">
      <w:start w:val="1"/>
      <w:numFmt w:val="lowerRoman"/>
      <w:lvlText w:val="%6."/>
      <w:lvlJc w:val="right"/>
      <w:pPr>
        <w:ind w:left="4320" w:hanging="180"/>
      </w:pPr>
    </w:lvl>
    <w:lvl w:ilvl="6" w:tplc="8B7A6EE6">
      <w:start w:val="1"/>
      <w:numFmt w:val="decimal"/>
      <w:lvlText w:val="%7."/>
      <w:lvlJc w:val="left"/>
      <w:pPr>
        <w:ind w:left="5040" w:hanging="360"/>
      </w:pPr>
    </w:lvl>
    <w:lvl w:ilvl="7" w:tplc="0AEC6C22">
      <w:start w:val="1"/>
      <w:numFmt w:val="lowerLetter"/>
      <w:lvlText w:val="%8."/>
      <w:lvlJc w:val="left"/>
      <w:pPr>
        <w:ind w:left="5760" w:hanging="360"/>
      </w:pPr>
    </w:lvl>
    <w:lvl w:ilvl="8" w:tplc="EEF81DDE">
      <w:start w:val="1"/>
      <w:numFmt w:val="lowerRoman"/>
      <w:lvlText w:val="%9."/>
      <w:lvlJc w:val="right"/>
      <w:pPr>
        <w:ind w:left="6480" w:hanging="180"/>
      </w:pPr>
    </w:lvl>
  </w:abstractNum>
  <w:abstractNum w:abstractNumId="1" w15:restartNumberingAfterBreak="0">
    <w:nsid w:val="1C3001F2"/>
    <w:multiLevelType w:val="hybridMultilevel"/>
    <w:tmpl w:val="479C9DD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65FB7FB"/>
    <w:multiLevelType w:val="hybridMultilevel"/>
    <w:tmpl w:val="FFFFFFFF"/>
    <w:lvl w:ilvl="0" w:tplc="4D5E5D04">
      <w:start w:val="1"/>
      <w:numFmt w:val="decimal"/>
      <w:lvlText w:val="%1."/>
      <w:lvlJc w:val="left"/>
      <w:pPr>
        <w:ind w:left="720" w:hanging="360"/>
      </w:pPr>
    </w:lvl>
    <w:lvl w:ilvl="1" w:tplc="EC2E5D5C">
      <w:start w:val="1"/>
      <w:numFmt w:val="lowerLetter"/>
      <w:lvlText w:val="%2."/>
      <w:lvlJc w:val="left"/>
      <w:pPr>
        <w:ind w:left="1440" w:hanging="360"/>
      </w:pPr>
    </w:lvl>
    <w:lvl w:ilvl="2" w:tplc="FAF07CEC">
      <w:start w:val="1"/>
      <w:numFmt w:val="lowerRoman"/>
      <w:lvlText w:val="%3."/>
      <w:lvlJc w:val="right"/>
      <w:pPr>
        <w:ind w:left="2160" w:hanging="180"/>
      </w:pPr>
    </w:lvl>
    <w:lvl w:ilvl="3" w:tplc="D4AE9F46">
      <w:start w:val="1"/>
      <w:numFmt w:val="decimal"/>
      <w:lvlText w:val="%4."/>
      <w:lvlJc w:val="left"/>
      <w:pPr>
        <w:ind w:left="2880" w:hanging="360"/>
      </w:pPr>
    </w:lvl>
    <w:lvl w:ilvl="4" w:tplc="A760A1BC">
      <w:start w:val="1"/>
      <w:numFmt w:val="lowerLetter"/>
      <w:lvlText w:val="%5."/>
      <w:lvlJc w:val="left"/>
      <w:pPr>
        <w:ind w:left="3600" w:hanging="360"/>
      </w:pPr>
    </w:lvl>
    <w:lvl w:ilvl="5" w:tplc="1F26485C">
      <w:start w:val="1"/>
      <w:numFmt w:val="lowerRoman"/>
      <w:lvlText w:val="%6."/>
      <w:lvlJc w:val="right"/>
      <w:pPr>
        <w:ind w:left="4320" w:hanging="180"/>
      </w:pPr>
    </w:lvl>
    <w:lvl w:ilvl="6" w:tplc="6714DE2E">
      <w:start w:val="1"/>
      <w:numFmt w:val="decimal"/>
      <w:lvlText w:val="%7."/>
      <w:lvlJc w:val="left"/>
      <w:pPr>
        <w:ind w:left="5040" w:hanging="360"/>
      </w:pPr>
    </w:lvl>
    <w:lvl w:ilvl="7" w:tplc="0D9091B6">
      <w:start w:val="1"/>
      <w:numFmt w:val="lowerLetter"/>
      <w:lvlText w:val="%8."/>
      <w:lvlJc w:val="left"/>
      <w:pPr>
        <w:ind w:left="5760" w:hanging="360"/>
      </w:pPr>
    </w:lvl>
    <w:lvl w:ilvl="8" w:tplc="584843A4">
      <w:start w:val="1"/>
      <w:numFmt w:val="lowerRoman"/>
      <w:lvlText w:val="%9."/>
      <w:lvlJc w:val="right"/>
      <w:pPr>
        <w:ind w:left="6480" w:hanging="180"/>
      </w:pPr>
    </w:lvl>
  </w:abstractNum>
  <w:abstractNum w:abstractNumId="3" w15:restartNumberingAfterBreak="0">
    <w:nsid w:val="26984806"/>
    <w:multiLevelType w:val="hybridMultilevel"/>
    <w:tmpl w:val="479C9DD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8E00A9C"/>
    <w:multiLevelType w:val="hybridMultilevel"/>
    <w:tmpl w:val="479C9DD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9D83330"/>
    <w:multiLevelType w:val="hybridMultilevel"/>
    <w:tmpl w:val="C7023550"/>
    <w:lvl w:ilvl="0" w:tplc="7ECC0066">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5F4005"/>
    <w:multiLevelType w:val="hybridMultilevel"/>
    <w:tmpl w:val="479C9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2207700">
    <w:abstractNumId w:val="6"/>
  </w:num>
  <w:num w:numId="2" w16cid:durableId="850217586">
    <w:abstractNumId w:val="1"/>
  </w:num>
  <w:num w:numId="3" w16cid:durableId="1034111449">
    <w:abstractNumId w:val="3"/>
  </w:num>
  <w:num w:numId="4" w16cid:durableId="1298757024">
    <w:abstractNumId w:val="4"/>
  </w:num>
  <w:num w:numId="5" w16cid:durableId="1483690726">
    <w:abstractNumId w:val="5"/>
  </w:num>
  <w:num w:numId="6" w16cid:durableId="2005549242">
    <w:abstractNumId w:val="2"/>
  </w:num>
  <w:num w:numId="7" w16cid:durableId="16438528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doNotDisplayPageBoundaries/>
  <w:proofState w:spelling="clean" w:grammar="clean"/>
  <w:documentProtection w:edit="readOnly" w:enforcement="1" w:cryptProviderType="rsaAES" w:cryptAlgorithmClass="hash" w:cryptAlgorithmType="typeAny" w:cryptAlgorithmSid="14" w:cryptSpinCount="100000" w:hash="hW1ue9KV5WshffJHXouaSIeTEkmNbbTUP2wAGjwvyrOznZRQZHwKjkDeqQyFKvfcFY5YerGTIAbZ+hZv3hD2NQ==" w:salt="dxkEGtY1UIngkEMEmHouCw=="/>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D6D"/>
    <w:rsid w:val="00001396"/>
    <w:rsid w:val="000013D0"/>
    <w:rsid w:val="00002D6D"/>
    <w:rsid w:val="0001085A"/>
    <w:rsid w:val="00010B28"/>
    <w:rsid w:val="00016B29"/>
    <w:rsid w:val="00017496"/>
    <w:rsid w:val="00024E98"/>
    <w:rsid w:val="00031D3B"/>
    <w:rsid w:val="00032A6B"/>
    <w:rsid w:val="00092FDF"/>
    <w:rsid w:val="000E681D"/>
    <w:rsid w:val="000F639F"/>
    <w:rsid w:val="00127ED1"/>
    <w:rsid w:val="001402B1"/>
    <w:rsid w:val="001559FC"/>
    <w:rsid w:val="001863C0"/>
    <w:rsid w:val="001873F7"/>
    <w:rsid w:val="001A210B"/>
    <w:rsid w:val="001A6C77"/>
    <w:rsid w:val="001D23B2"/>
    <w:rsid w:val="001D7B41"/>
    <w:rsid w:val="001F44C2"/>
    <w:rsid w:val="001F581E"/>
    <w:rsid w:val="00224F21"/>
    <w:rsid w:val="002272F4"/>
    <w:rsid w:val="002546CD"/>
    <w:rsid w:val="00255284"/>
    <w:rsid w:val="00294D1E"/>
    <w:rsid w:val="002A2AD5"/>
    <w:rsid w:val="002B35A8"/>
    <w:rsid w:val="002D51E4"/>
    <w:rsid w:val="00305A4B"/>
    <w:rsid w:val="00322A93"/>
    <w:rsid w:val="00341F18"/>
    <w:rsid w:val="00343D36"/>
    <w:rsid w:val="00347AD9"/>
    <w:rsid w:val="00370810"/>
    <w:rsid w:val="00385026"/>
    <w:rsid w:val="0039336D"/>
    <w:rsid w:val="003A7D76"/>
    <w:rsid w:val="003B1B32"/>
    <w:rsid w:val="003C2DEB"/>
    <w:rsid w:val="00400591"/>
    <w:rsid w:val="00404C3A"/>
    <w:rsid w:val="0041626F"/>
    <w:rsid w:val="00426FCF"/>
    <w:rsid w:val="00477984"/>
    <w:rsid w:val="00482420"/>
    <w:rsid w:val="004B20CB"/>
    <w:rsid w:val="004D554D"/>
    <w:rsid w:val="004E13E6"/>
    <w:rsid w:val="004E1903"/>
    <w:rsid w:val="004E4549"/>
    <w:rsid w:val="004F6754"/>
    <w:rsid w:val="00521567"/>
    <w:rsid w:val="0052189B"/>
    <w:rsid w:val="005267F5"/>
    <w:rsid w:val="00540FDD"/>
    <w:rsid w:val="0054595C"/>
    <w:rsid w:val="00555A07"/>
    <w:rsid w:val="00587482"/>
    <w:rsid w:val="00595548"/>
    <w:rsid w:val="005A0F23"/>
    <w:rsid w:val="005B1B8B"/>
    <w:rsid w:val="005B38B6"/>
    <w:rsid w:val="005C046E"/>
    <w:rsid w:val="005C476A"/>
    <w:rsid w:val="005D788E"/>
    <w:rsid w:val="005E6077"/>
    <w:rsid w:val="005F58C7"/>
    <w:rsid w:val="005F6348"/>
    <w:rsid w:val="005F644D"/>
    <w:rsid w:val="00601994"/>
    <w:rsid w:val="006237FA"/>
    <w:rsid w:val="00625E61"/>
    <w:rsid w:val="00646FC7"/>
    <w:rsid w:val="00653A73"/>
    <w:rsid w:val="006D6426"/>
    <w:rsid w:val="006E2C33"/>
    <w:rsid w:val="006E7C41"/>
    <w:rsid w:val="00702A28"/>
    <w:rsid w:val="00707403"/>
    <w:rsid w:val="0072004C"/>
    <w:rsid w:val="0072443F"/>
    <w:rsid w:val="00736C10"/>
    <w:rsid w:val="0077690E"/>
    <w:rsid w:val="0079430A"/>
    <w:rsid w:val="007B588E"/>
    <w:rsid w:val="007C0F57"/>
    <w:rsid w:val="007C6891"/>
    <w:rsid w:val="007E18FF"/>
    <w:rsid w:val="007F2904"/>
    <w:rsid w:val="008205E7"/>
    <w:rsid w:val="0082575D"/>
    <w:rsid w:val="0083329B"/>
    <w:rsid w:val="0084339D"/>
    <w:rsid w:val="008667B7"/>
    <w:rsid w:val="00873156"/>
    <w:rsid w:val="008801EF"/>
    <w:rsid w:val="0088554B"/>
    <w:rsid w:val="008911CD"/>
    <w:rsid w:val="0089420C"/>
    <w:rsid w:val="008A6E4A"/>
    <w:rsid w:val="008B3596"/>
    <w:rsid w:val="008C14E7"/>
    <w:rsid w:val="008C498F"/>
    <w:rsid w:val="009009D0"/>
    <w:rsid w:val="00911431"/>
    <w:rsid w:val="00932340"/>
    <w:rsid w:val="00935903"/>
    <w:rsid w:val="00936B24"/>
    <w:rsid w:val="00937A53"/>
    <w:rsid w:val="00942CF5"/>
    <w:rsid w:val="00943648"/>
    <w:rsid w:val="00974649"/>
    <w:rsid w:val="00993310"/>
    <w:rsid w:val="009A6DBF"/>
    <w:rsid w:val="009D1A40"/>
    <w:rsid w:val="009D7353"/>
    <w:rsid w:val="009E3245"/>
    <w:rsid w:val="009F36D9"/>
    <w:rsid w:val="00A14598"/>
    <w:rsid w:val="00A20F94"/>
    <w:rsid w:val="00A255E5"/>
    <w:rsid w:val="00A40D1F"/>
    <w:rsid w:val="00A41D91"/>
    <w:rsid w:val="00A50BE3"/>
    <w:rsid w:val="00A5494B"/>
    <w:rsid w:val="00A54A2F"/>
    <w:rsid w:val="00A741D5"/>
    <w:rsid w:val="00A87BC4"/>
    <w:rsid w:val="00AC0B8A"/>
    <w:rsid w:val="00AF270E"/>
    <w:rsid w:val="00B10326"/>
    <w:rsid w:val="00B11732"/>
    <w:rsid w:val="00B30876"/>
    <w:rsid w:val="00B32D7C"/>
    <w:rsid w:val="00B63E0D"/>
    <w:rsid w:val="00B7426A"/>
    <w:rsid w:val="00B75BC5"/>
    <w:rsid w:val="00B96B68"/>
    <w:rsid w:val="00BA4CB7"/>
    <w:rsid w:val="00BA6257"/>
    <w:rsid w:val="00BA7023"/>
    <w:rsid w:val="00BC4C16"/>
    <w:rsid w:val="00BE244A"/>
    <w:rsid w:val="00C013BF"/>
    <w:rsid w:val="00C01EF4"/>
    <w:rsid w:val="00C36AF9"/>
    <w:rsid w:val="00C36F6F"/>
    <w:rsid w:val="00C61063"/>
    <w:rsid w:val="00C64053"/>
    <w:rsid w:val="00C70951"/>
    <w:rsid w:val="00C90B5A"/>
    <w:rsid w:val="00CA65CC"/>
    <w:rsid w:val="00CD0325"/>
    <w:rsid w:val="00CD1FF9"/>
    <w:rsid w:val="00CD3FA7"/>
    <w:rsid w:val="00D140DA"/>
    <w:rsid w:val="00D1416A"/>
    <w:rsid w:val="00D156BD"/>
    <w:rsid w:val="00D23E46"/>
    <w:rsid w:val="00D8172C"/>
    <w:rsid w:val="00D82ADA"/>
    <w:rsid w:val="00D967A9"/>
    <w:rsid w:val="00D97BF1"/>
    <w:rsid w:val="00DA3630"/>
    <w:rsid w:val="00DA6128"/>
    <w:rsid w:val="00DB3686"/>
    <w:rsid w:val="00DC0921"/>
    <w:rsid w:val="00DC34B3"/>
    <w:rsid w:val="00DD0995"/>
    <w:rsid w:val="00DE2991"/>
    <w:rsid w:val="00DF0A4B"/>
    <w:rsid w:val="00DF15FC"/>
    <w:rsid w:val="00E07209"/>
    <w:rsid w:val="00E2021E"/>
    <w:rsid w:val="00E400B8"/>
    <w:rsid w:val="00E53DF3"/>
    <w:rsid w:val="00E54EE3"/>
    <w:rsid w:val="00E56DA3"/>
    <w:rsid w:val="00E65CCE"/>
    <w:rsid w:val="00E71CC7"/>
    <w:rsid w:val="00E87C4B"/>
    <w:rsid w:val="00E95304"/>
    <w:rsid w:val="00EF237E"/>
    <w:rsid w:val="00F13BB3"/>
    <w:rsid w:val="00F53956"/>
    <w:rsid w:val="00F65723"/>
    <w:rsid w:val="00F72AF2"/>
    <w:rsid w:val="00FA5DC1"/>
    <w:rsid w:val="00FB3282"/>
    <w:rsid w:val="00FC2643"/>
    <w:rsid w:val="00FD74F2"/>
    <w:rsid w:val="00FE497B"/>
    <w:rsid w:val="00FF3234"/>
    <w:rsid w:val="01EBE67E"/>
    <w:rsid w:val="027D5C40"/>
    <w:rsid w:val="052A77AC"/>
    <w:rsid w:val="078B1445"/>
    <w:rsid w:val="207E1886"/>
    <w:rsid w:val="215D513B"/>
    <w:rsid w:val="218D76E6"/>
    <w:rsid w:val="253DFC85"/>
    <w:rsid w:val="29C4EED5"/>
    <w:rsid w:val="2AC85908"/>
    <w:rsid w:val="2BD2B3A7"/>
    <w:rsid w:val="2BEC99BF"/>
    <w:rsid w:val="328654A2"/>
    <w:rsid w:val="370D46F2"/>
    <w:rsid w:val="38258269"/>
    <w:rsid w:val="3FCEACBF"/>
    <w:rsid w:val="42024BD6"/>
    <w:rsid w:val="456DDA86"/>
    <w:rsid w:val="459E0031"/>
    <w:rsid w:val="4890128C"/>
    <w:rsid w:val="51CAF4AE"/>
    <w:rsid w:val="6320C2C6"/>
    <w:rsid w:val="64752928"/>
    <w:rsid w:val="65486DB0"/>
    <w:rsid w:val="68BFF08D"/>
    <w:rsid w:val="6BE22893"/>
    <w:rsid w:val="6C739E55"/>
    <w:rsid w:val="70691AE3"/>
    <w:rsid w:val="745E9771"/>
    <w:rsid w:val="77E21F8E"/>
    <w:rsid w:val="792A80B0"/>
    <w:rsid w:val="7A42BC27"/>
    <w:rsid w:val="7D2C0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D1B1B"/>
  <w15:chartTrackingRefBased/>
  <w15:docId w15:val="{32B226C1-5101-4CDE-8305-7D8985533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3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D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D6D"/>
  </w:style>
  <w:style w:type="paragraph" w:styleId="Footer">
    <w:name w:val="footer"/>
    <w:basedOn w:val="Normal"/>
    <w:link w:val="FooterChar"/>
    <w:uiPriority w:val="99"/>
    <w:unhideWhenUsed/>
    <w:rsid w:val="00002D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D6D"/>
  </w:style>
  <w:style w:type="table" w:styleId="TableGrid">
    <w:name w:val="Table Grid"/>
    <w:basedOn w:val="TableNormal"/>
    <w:uiPriority w:val="39"/>
    <w:rsid w:val="00002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02D6D"/>
    <w:pPr>
      <w:spacing w:after="0" w:line="240" w:lineRule="auto"/>
    </w:pPr>
  </w:style>
  <w:style w:type="character" w:styleId="Emphasis">
    <w:name w:val="Emphasis"/>
    <w:basedOn w:val="DefaultParagraphFont"/>
    <w:uiPriority w:val="20"/>
    <w:qFormat/>
    <w:rsid w:val="00002D6D"/>
    <w:rPr>
      <w:i/>
      <w:iCs/>
    </w:rPr>
  </w:style>
  <w:style w:type="character" w:styleId="Strong">
    <w:name w:val="Strong"/>
    <w:basedOn w:val="DefaultParagraphFont"/>
    <w:uiPriority w:val="22"/>
    <w:qFormat/>
    <w:rsid w:val="00002D6D"/>
    <w:rPr>
      <w:b/>
      <w:bCs/>
    </w:rPr>
  </w:style>
  <w:style w:type="character" w:styleId="SubtleEmphasis">
    <w:name w:val="Subtle Emphasis"/>
    <w:basedOn w:val="DefaultParagraphFont"/>
    <w:uiPriority w:val="19"/>
    <w:qFormat/>
    <w:rsid w:val="00341F18"/>
    <w:rPr>
      <w:i/>
      <w:iCs/>
      <w:color w:val="404040" w:themeColor="text1" w:themeTint="BF"/>
    </w:rPr>
  </w:style>
  <w:style w:type="paragraph" w:styleId="ListParagraph">
    <w:name w:val="List Paragraph"/>
    <w:basedOn w:val="Normal"/>
    <w:uiPriority w:val="34"/>
    <w:qFormat/>
    <w:rsid w:val="008801EF"/>
    <w:pPr>
      <w:ind w:left="720"/>
      <w:contextualSpacing/>
    </w:pPr>
  </w:style>
  <w:style w:type="character" w:styleId="CommentReference">
    <w:name w:val="annotation reference"/>
    <w:basedOn w:val="DefaultParagraphFont"/>
    <w:uiPriority w:val="99"/>
    <w:semiHidden/>
    <w:unhideWhenUsed/>
    <w:rsid w:val="00482420"/>
    <w:rPr>
      <w:sz w:val="16"/>
      <w:szCs w:val="16"/>
    </w:rPr>
  </w:style>
  <w:style w:type="paragraph" w:styleId="CommentText">
    <w:name w:val="annotation text"/>
    <w:basedOn w:val="Normal"/>
    <w:link w:val="CommentTextChar"/>
    <w:uiPriority w:val="99"/>
    <w:semiHidden/>
    <w:unhideWhenUsed/>
    <w:rsid w:val="00482420"/>
    <w:pPr>
      <w:spacing w:line="240" w:lineRule="auto"/>
    </w:pPr>
    <w:rPr>
      <w:sz w:val="20"/>
      <w:szCs w:val="20"/>
    </w:rPr>
  </w:style>
  <w:style w:type="character" w:customStyle="1" w:styleId="CommentTextChar">
    <w:name w:val="Comment Text Char"/>
    <w:basedOn w:val="DefaultParagraphFont"/>
    <w:link w:val="CommentText"/>
    <w:uiPriority w:val="99"/>
    <w:semiHidden/>
    <w:rsid w:val="0048242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98d88a5-5d23-4de0-b57d-a3a01659ba1e">
      <Terms xmlns="http://schemas.microsoft.com/office/infopath/2007/PartnerControls"/>
    </lcf76f155ced4ddcb4097134ff3c332f>
    <TaxCatchAll xmlns="f51385c3-5110-43f3-84cf-105d0cf94a51" xsi:nil="true"/>
    <SharedWithUsers xmlns="f51385c3-5110-43f3-84cf-105d0cf94a51">
      <UserInfo>
        <DisplayName>Kotz, Bradley</DisplayName>
        <AccountId>501</AccountId>
        <AccountType/>
      </UserInfo>
      <UserInfo>
        <DisplayName>Armstrong, Joni</DisplayName>
        <AccountId>140</AccountId>
        <AccountType/>
      </UserInfo>
      <UserInfo>
        <DisplayName>Backstrom, Shannon</DisplayName>
        <AccountId>343</AccountId>
        <AccountType/>
      </UserInfo>
      <UserInfo>
        <DisplayName>Honnold, Julie</DisplayName>
        <AccountId>508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DB28A2198FD349B697A2A8B4F20A16" ma:contentTypeVersion="12" ma:contentTypeDescription="Create a new document." ma:contentTypeScope="" ma:versionID="c86c469551f5582a3c622d93e36090d3">
  <xsd:schema xmlns:xsd="http://www.w3.org/2001/XMLSchema" xmlns:xs="http://www.w3.org/2001/XMLSchema" xmlns:p="http://schemas.microsoft.com/office/2006/metadata/properties" xmlns:ns2="898d88a5-5d23-4de0-b57d-a3a01659ba1e" xmlns:ns3="f51385c3-5110-43f3-84cf-105d0cf94a51" targetNamespace="http://schemas.microsoft.com/office/2006/metadata/properties" ma:root="true" ma:fieldsID="fdc4a36c4642a38ff4e81f2f69450f1a" ns2:_="" ns3:_="">
    <xsd:import namespace="898d88a5-5d23-4de0-b57d-a3a01659ba1e"/>
    <xsd:import namespace="f51385c3-5110-43f3-84cf-105d0cf94a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8d88a5-5d23-4de0-b57d-a3a01659ba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570c348-86ef-4325-bc1c-c9e9f79bf6ce"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1385c3-5110-43f3-84cf-105d0cf94a5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c376be1a-f880-4d0a-958b-1db86b32ba5b}" ma:internalName="TaxCatchAll" ma:showField="CatchAllData" ma:web="f51385c3-5110-43f3-84cf-105d0cf94a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D29F2A-4FA4-49E8-8B23-3B7B0F327857}">
  <ds:schemaRefs>
    <ds:schemaRef ds:uri="http://schemas.microsoft.com/office/infopath/2007/PartnerControls"/>
    <ds:schemaRef ds:uri="http://schemas.openxmlformats.org/package/2006/metadata/core-properties"/>
    <ds:schemaRef ds:uri="f51385c3-5110-43f3-84cf-105d0cf94a51"/>
    <ds:schemaRef ds:uri="http://www.w3.org/XML/1998/namespace"/>
    <ds:schemaRef ds:uri="898d88a5-5d23-4de0-b57d-a3a01659ba1e"/>
    <ds:schemaRef ds:uri="http://purl.org/dc/terms/"/>
    <ds:schemaRef ds:uri="http://schemas.microsoft.com/office/2006/metadata/properties"/>
    <ds:schemaRef ds:uri="http://schemas.microsoft.com/office/2006/documentManagement/types"/>
    <ds:schemaRef ds:uri="http://purl.org/dc/elements/1.1/"/>
    <ds:schemaRef ds:uri="http://purl.org/dc/dcmitype/"/>
  </ds:schemaRefs>
</ds:datastoreItem>
</file>

<file path=customXml/itemProps2.xml><?xml version="1.0" encoding="utf-8"?>
<ds:datastoreItem xmlns:ds="http://schemas.openxmlformats.org/officeDocument/2006/customXml" ds:itemID="{4E664ED9-03E4-4338-A8FD-B3309EB87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8d88a5-5d23-4de0-b57d-a3a01659ba1e"/>
    <ds:schemaRef ds:uri="f51385c3-5110-43f3-84cf-105d0cf94a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4A7673-7071-46D6-A998-1823772B9A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1180</Words>
  <Characters>6729</Characters>
  <Application>Microsoft Office Word</Application>
  <DocSecurity>8</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Sturgis, Jocelyn</dc:creator>
  <cp:keywords/>
  <dc:description/>
  <cp:lastModifiedBy>Sturgis, Jocelyn</cp:lastModifiedBy>
  <cp:revision>2</cp:revision>
  <dcterms:created xsi:type="dcterms:W3CDTF">2022-10-21T17:17:00Z</dcterms:created>
  <dcterms:modified xsi:type="dcterms:W3CDTF">2022-10-21T17:17:00Z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0x01010076DB28A2198FD349B697A2A8B4F20A16</vt:lpwstr>
  </property>
  <property fmtid="{D5CDD505-2E9C-101B-9397-08002B2CF9AE}" pid="3" name="Order">
    <vt:r8>633200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